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59AC661">
            <w:pPr>
              <w:widowControl w:val="0"/>
              <w:wordWrap/>
              <w:adjustRightInd w:val="0"/>
              <w:snapToGrid w:val="0"/>
              <w:spacing w:line="5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关于许昌市新兴路快速化提升改造项目</w:t>
            </w:r>
          </w:p>
          <w:p w14:paraId="4F6C21AE">
            <w:pPr>
              <w:widowControl w:val="0"/>
              <w:wordWrap/>
              <w:adjustRightInd w:val="0"/>
              <w:snapToGrid w:val="0"/>
              <w:spacing w:line="520" w:lineRule="exact"/>
              <w:jc w:val="center"/>
              <w:textAlignment w:val="auto"/>
              <w:rPr>
                <w:rFonts w:hint="default" w:ascii="仿宋_GB2312" w:hAnsi="仿宋_GB2312" w:eastAsia="仿宋_GB2312" w:cs="仿宋_GB2312"/>
                <w:b/>
                <w:color w:val="000000"/>
                <w:sz w:val="15"/>
                <w:szCs w:val="15"/>
                <w:lang w:val="en-US" w:eastAsia="zh-CN"/>
              </w:rPr>
            </w:pPr>
            <w:r>
              <w:rPr>
                <w:rFonts w:hint="eastAsia" w:ascii="仿宋_GB2312" w:hAnsi="仿宋_GB2312" w:eastAsia="仿宋_GB2312" w:cs="仿宋_GB2312"/>
                <w:sz w:val="32"/>
                <w:szCs w:val="32"/>
                <w:highlight w:val="none"/>
                <w:lang w:val="en-US" w:eastAsia="zh-CN"/>
              </w:rPr>
              <w:t>环境影响评价报告编制单位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141D97C">
      <w:pPr>
        <w:rPr>
          <w:rFonts w:hint="eastAsia" w:ascii="仿宋_GB2312" w:hAnsi="仿宋_GB2312" w:eastAsia="仿宋_GB2312" w:cs="仿宋_GB2312"/>
          <w:sz w:val="32"/>
          <w:szCs w:val="32"/>
          <w:highlight w:val="none"/>
          <w:lang w:val="en-US" w:eastAsia="zh-CN"/>
        </w:rPr>
      </w:pPr>
    </w:p>
    <w:p w14:paraId="1F544358">
      <w:pPr>
        <w:pStyle w:val="8"/>
        <w:spacing w:line="240" w:lineRule="auto"/>
        <w:ind w:firstLine="0" w:firstLineChars="0"/>
        <w:contextualSpacing/>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附件2：</w:t>
      </w:r>
    </w:p>
    <w:p w14:paraId="0CA4F271">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37F3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8D659F3">
            <w:pPr>
              <w:tabs>
                <w:tab w:val="left" w:pos="1260"/>
              </w:tabs>
              <w:autoSpaceDE w:val="0"/>
              <w:autoSpaceDN w:val="0"/>
              <w:adjustRightInd w:val="0"/>
              <w:snapToGrid w:val="0"/>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分值构成</w:t>
            </w:r>
          </w:p>
          <w:p w14:paraId="22D282A1">
            <w:pPr>
              <w:tabs>
                <w:tab w:val="left" w:pos="1260"/>
              </w:tabs>
              <w:autoSpaceDE w:val="0"/>
              <w:autoSpaceDN w:val="0"/>
              <w:adjustRightInd w:val="0"/>
              <w:snapToGrid w:val="0"/>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(总分100分)</w:t>
            </w:r>
          </w:p>
        </w:tc>
        <w:tc>
          <w:tcPr>
            <w:tcW w:w="6786" w:type="dxa"/>
            <w:vAlign w:val="center"/>
          </w:tcPr>
          <w:p w14:paraId="65F1DB54">
            <w:pPr>
              <w:widowControl/>
              <w:adjustRightInd w:val="0"/>
              <w:snapToGrid w:val="0"/>
              <w:spacing w:line="240" w:lineRule="auto"/>
              <w:jc w:val="left"/>
              <w:rPr>
                <w:rFonts w:hint="eastAsia" w:ascii="Times New Roman" w:hAnsi="Times New Roman" w:eastAsia="仿宋_GB2312" w:cs="Times New Roman"/>
                <w:color w:val="auto"/>
                <w:sz w:val="32"/>
                <w:szCs w:val="32"/>
                <w:lang w:val="zh-CN" w:eastAsia="zh-CN"/>
              </w:rPr>
            </w:pPr>
            <w:r>
              <w:rPr>
                <w:rFonts w:hint="eastAsia" w:ascii="仿宋_GB2312" w:hAnsi="仿宋_GB2312" w:eastAsia="仿宋_GB2312" w:cs="仿宋_GB2312"/>
                <w:color w:val="auto"/>
                <w:sz w:val="32"/>
                <w:szCs w:val="32"/>
                <w:lang w:val="zh-CN"/>
              </w:rPr>
              <w:t>企业报价：</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30 </w:t>
            </w:r>
            <w:r>
              <w:rPr>
                <w:rFonts w:hint="eastAsia" w:ascii="Times New Roman" w:hAnsi="Times New Roman" w:eastAsia="仿宋_GB2312" w:cs="Times New Roman"/>
                <w:color w:val="auto"/>
                <w:sz w:val="32"/>
                <w:szCs w:val="32"/>
                <w:lang w:val="zh-CN" w:eastAsia="zh-CN"/>
              </w:rPr>
              <w:t>分</w:t>
            </w:r>
          </w:p>
          <w:p w14:paraId="383D79AD">
            <w:pPr>
              <w:widowControl/>
              <w:adjustRightInd w:val="0"/>
              <w:snapToGrid w:val="0"/>
              <w:spacing w:line="240" w:lineRule="auto"/>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企业业绩</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20 </w:t>
            </w:r>
            <w:r>
              <w:rPr>
                <w:rFonts w:hint="eastAsia" w:ascii="仿宋_GB2312" w:hAnsi="仿宋_GB2312" w:eastAsia="仿宋_GB2312" w:cs="仿宋_GB2312"/>
                <w:color w:val="auto"/>
                <w:sz w:val="32"/>
                <w:szCs w:val="32"/>
                <w:lang w:val="zh-CN" w:eastAsia="zh-CN"/>
              </w:rPr>
              <w:t>分</w:t>
            </w:r>
          </w:p>
          <w:p w14:paraId="7C217664">
            <w:pPr>
              <w:widowControl/>
              <w:adjustRightInd w:val="0"/>
              <w:snapToGrid w:val="0"/>
              <w:spacing w:line="240" w:lineRule="auto"/>
              <w:jc w:val="lef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管理机构：</w:t>
            </w:r>
            <w:r>
              <w:rPr>
                <w:rFonts w:hint="eastAsia" w:ascii="Times New Roman" w:hAnsi="Times New Roman" w:eastAsia="仿宋_GB2312" w:cs="Times New Roman"/>
                <w:color w:val="auto"/>
                <w:sz w:val="32"/>
                <w:szCs w:val="32"/>
                <w:lang w:val="en-US" w:eastAsia="zh-CN"/>
              </w:rPr>
              <w:t xml:space="preserve"> 20 </w:t>
            </w:r>
            <w:r>
              <w:rPr>
                <w:rFonts w:hint="eastAsia" w:ascii="仿宋_GB2312" w:hAnsi="仿宋_GB2312" w:eastAsia="仿宋_GB2312" w:cs="仿宋_GB2312"/>
                <w:color w:val="auto"/>
                <w:sz w:val="32"/>
                <w:szCs w:val="32"/>
                <w:lang w:val="en-US" w:eastAsia="zh-CN"/>
              </w:rPr>
              <w:t>分</w:t>
            </w:r>
          </w:p>
          <w:p w14:paraId="2CF04226">
            <w:pPr>
              <w:widowControl/>
              <w:adjustRightInd w:val="0"/>
              <w:snapToGrid w:val="0"/>
              <w:spacing w:line="240" w:lineRule="auto"/>
              <w:jc w:val="left"/>
              <w:rPr>
                <w:rFonts w:hint="eastAsia"/>
                <w:color w:val="auto"/>
                <w:lang w:val="en-US"/>
              </w:rPr>
            </w:pPr>
            <w:r>
              <w:rPr>
                <w:rFonts w:hint="eastAsia" w:ascii="仿宋_GB2312" w:hAnsi="仿宋_GB2312" w:eastAsia="仿宋_GB2312" w:cs="仿宋_GB2312"/>
                <w:color w:val="auto"/>
                <w:sz w:val="32"/>
                <w:szCs w:val="32"/>
                <w:lang w:val="en-US" w:eastAsia="zh-CN"/>
              </w:rPr>
              <w:t>服务方案</w:t>
            </w:r>
            <w:r>
              <w:rPr>
                <w:rFonts w:hint="eastAsia" w:ascii="仿宋_GB2312" w:hAnsi="仿宋_GB2312" w:eastAsia="仿宋_GB2312" w:cs="仿宋_GB2312"/>
                <w:color w:val="auto"/>
                <w:sz w:val="32"/>
                <w:szCs w:val="32"/>
                <w:lang w:val="zh-CN" w:eastAsia="zh-CN"/>
              </w:rPr>
              <w:t>：</w:t>
            </w:r>
            <w:r>
              <w:rPr>
                <w:rFonts w:hint="eastAsia" w:ascii="Times New Roman" w:hAnsi="Times New Roman" w:eastAsia="仿宋_GB2312" w:cs="Times New Roman"/>
                <w:color w:val="auto"/>
                <w:sz w:val="32"/>
                <w:szCs w:val="32"/>
                <w:lang w:val="en-US" w:eastAsia="zh-CN"/>
              </w:rPr>
              <w:t xml:space="preserve"> 30</w:t>
            </w:r>
            <w:r>
              <w:rPr>
                <w:rFonts w:hint="eastAsia" w:ascii="仿宋_GB2312" w:hAnsi="仿宋_GB2312" w:eastAsia="仿宋_GB2312" w:cs="仿宋_GB2312"/>
                <w:color w:val="auto"/>
                <w:sz w:val="32"/>
                <w:szCs w:val="32"/>
                <w:lang w:val="zh-CN" w:eastAsia="zh-CN"/>
              </w:rPr>
              <w:t xml:space="preserve"> 分</w:t>
            </w:r>
          </w:p>
        </w:tc>
      </w:tr>
      <w:tr w14:paraId="4C48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tcMar>
              <w:top w:w="0" w:type="dxa"/>
              <w:left w:w="0" w:type="dxa"/>
              <w:bottom w:w="0" w:type="dxa"/>
              <w:right w:w="0" w:type="dxa"/>
            </w:tcMar>
            <w:vAlign w:val="center"/>
          </w:tcPr>
          <w:p w14:paraId="67C0B293">
            <w:pPr>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评审项</w:t>
            </w:r>
          </w:p>
        </w:tc>
        <w:tc>
          <w:tcPr>
            <w:tcW w:w="6786" w:type="dxa"/>
            <w:tcMar>
              <w:top w:w="0" w:type="dxa"/>
              <w:left w:w="0" w:type="dxa"/>
              <w:bottom w:w="0" w:type="dxa"/>
              <w:right w:w="0" w:type="dxa"/>
            </w:tcMar>
            <w:vAlign w:val="center"/>
          </w:tcPr>
          <w:p w14:paraId="613369CC">
            <w:pPr>
              <w:spacing w:line="24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评标标准</w:t>
            </w:r>
          </w:p>
        </w:tc>
      </w:tr>
      <w:tr w14:paraId="0750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913" w:type="dxa"/>
            <w:tcMar>
              <w:top w:w="0" w:type="dxa"/>
              <w:left w:w="0" w:type="dxa"/>
              <w:bottom w:w="0" w:type="dxa"/>
              <w:right w:w="0" w:type="dxa"/>
            </w:tcMar>
            <w:vAlign w:val="center"/>
          </w:tcPr>
          <w:p w14:paraId="3262C234">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报价</w:t>
            </w:r>
          </w:p>
          <w:p w14:paraId="095FEE0B">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w:t>
            </w:r>
          </w:p>
        </w:tc>
        <w:tc>
          <w:tcPr>
            <w:tcW w:w="6786" w:type="dxa"/>
            <w:tcMar>
              <w:top w:w="0" w:type="dxa"/>
              <w:left w:w="0" w:type="dxa"/>
              <w:bottom w:w="0" w:type="dxa"/>
              <w:right w:w="0" w:type="dxa"/>
            </w:tcMar>
            <w:vAlign w:val="center"/>
          </w:tcPr>
          <w:p w14:paraId="4064A041">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9万元</w:t>
            </w:r>
            <w:r>
              <w:rPr>
                <w:rFonts w:hint="eastAsia" w:ascii="仿宋_GB2312" w:hAnsi="仿宋_GB2312" w:eastAsia="仿宋_GB2312" w:cs="仿宋_GB2312"/>
                <w:color w:val="auto"/>
                <w:sz w:val="32"/>
                <w:szCs w:val="32"/>
              </w:rPr>
              <w:t>；</w:t>
            </w:r>
          </w:p>
          <w:p w14:paraId="43D3C6F6">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50303761">
            <w:pPr>
              <w:widowControl/>
              <w:adjustRightInd w:val="0"/>
              <w:snapToGrid w:val="0"/>
              <w:spacing w:line="240"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28C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6A3ED726">
            <w:pPr>
              <w:adjustRightInd w:val="0"/>
              <w:snapToGrid w:val="0"/>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企业业绩</w:t>
            </w:r>
          </w:p>
          <w:p w14:paraId="4AD91E6E">
            <w:pPr>
              <w:adjustRightInd w:val="0"/>
              <w:snapToGrid w:val="0"/>
              <w:spacing w:line="240" w:lineRule="auto"/>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（20分）</w:t>
            </w:r>
          </w:p>
        </w:tc>
        <w:tc>
          <w:tcPr>
            <w:tcW w:w="6786" w:type="dxa"/>
            <w:shd w:val="clear" w:color="auto" w:fill="auto"/>
            <w:tcMar>
              <w:top w:w="0" w:type="dxa"/>
              <w:left w:w="0" w:type="dxa"/>
              <w:bottom w:w="0" w:type="dxa"/>
              <w:right w:w="0" w:type="dxa"/>
            </w:tcMar>
            <w:vAlign w:val="center"/>
          </w:tcPr>
          <w:p w14:paraId="070C644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eastAsia="仿宋_GB2312" w:cs="Times New Roman"/>
                <w:color w:val="auto"/>
                <w:sz w:val="32"/>
                <w:szCs w:val="32"/>
                <w:highlight w:val="none"/>
                <w:lang w:val="en-US" w:eastAsia="zh-CN"/>
              </w:rPr>
              <w:t>环境影响评价报告编制</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eastAsia" w:ascii="Times New Roman" w:hAnsi="Times New Roman" w:eastAsia="仿宋_GB2312" w:cs="Times New Roman"/>
                <w:color w:val="auto"/>
                <w:sz w:val="32"/>
                <w:szCs w:val="32"/>
                <w:highlight w:val="none"/>
                <w:lang w:val="en-US" w:eastAsia="zh-CN"/>
              </w:rPr>
              <w:t>类似</w:t>
            </w:r>
            <w:r>
              <w:rPr>
                <w:rFonts w:hint="default" w:ascii="Times New Roman" w:hAnsi="Times New Roman" w:eastAsia="仿宋_GB2312" w:cs="Times New Roman"/>
                <w:color w:val="auto"/>
                <w:sz w:val="32"/>
                <w:szCs w:val="32"/>
                <w:highlight w:val="none"/>
                <w:lang w:val="en-US" w:eastAsia="zh-CN"/>
              </w:rPr>
              <w:t>业绩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w:t>
            </w:r>
            <w:r>
              <w:rPr>
                <w:rFonts w:hint="eastAsia" w:eastAsia="仿宋_GB2312" w:cs="Times New Roman"/>
                <w:color w:val="auto"/>
                <w:sz w:val="32"/>
                <w:szCs w:val="32"/>
                <w:lang w:val="en-US" w:eastAsia="zh-CN"/>
              </w:rPr>
              <w:t>及取得主管部门的批复文件</w:t>
            </w:r>
            <w:r>
              <w:rPr>
                <w:rFonts w:hint="default" w:ascii="Times New Roman" w:hAnsi="Times New Roman" w:eastAsia="仿宋_GB2312" w:cs="Times New Roman"/>
                <w:color w:val="auto"/>
                <w:sz w:val="32"/>
                <w:szCs w:val="32"/>
                <w:lang w:val="en-US" w:eastAsia="zh-CN"/>
              </w:rPr>
              <w:t>。）</w:t>
            </w:r>
          </w:p>
        </w:tc>
      </w:tr>
      <w:tr w14:paraId="6986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9" w:hRule="atLeast"/>
          <w:jc w:val="center"/>
        </w:trPr>
        <w:tc>
          <w:tcPr>
            <w:tcW w:w="2913" w:type="dxa"/>
            <w:shd w:val="clear" w:color="auto" w:fill="auto"/>
            <w:tcMar>
              <w:top w:w="0" w:type="dxa"/>
              <w:left w:w="0" w:type="dxa"/>
              <w:bottom w:w="0" w:type="dxa"/>
              <w:right w:w="0" w:type="dxa"/>
            </w:tcMar>
            <w:vAlign w:val="center"/>
          </w:tcPr>
          <w:p w14:paraId="4B82EE59">
            <w:pPr>
              <w:widowControl/>
              <w:numPr>
                <w:ilvl w:val="0"/>
                <w:numId w:val="0"/>
              </w:numPr>
              <w:wordWrap/>
              <w:adjustRightInd w:val="0"/>
              <w:snapToGrid w:val="0"/>
              <w:spacing w:line="240" w:lineRule="auto"/>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管理机构</w:t>
            </w:r>
          </w:p>
          <w:p w14:paraId="4E233F46">
            <w:pPr>
              <w:widowControl/>
              <w:numPr>
                <w:ilvl w:val="0"/>
                <w:numId w:val="0"/>
              </w:numPr>
              <w:wordWrap/>
              <w:adjustRightInd w:val="0"/>
              <w:snapToGrid w:val="0"/>
              <w:spacing w:line="240" w:lineRule="auto"/>
              <w:ind w:right="0"/>
              <w:jc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（20分）</w:t>
            </w:r>
          </w:p>
        </w:tc>
        <w:tc>
          <w:tcPr>
            <w:tcW w:w="6786" w:type="dxa"/>
            <w:shd w:val="clear" w:color="auto" w:fill="auto"/>
            <w:tcMar>
              <w:top w:w="0" w:type="dxa"/>
              <w:left w:w="0" w:type="dxa"/>
              <w:bottom w:w="0" w:type="dxa"/>
              <w:right w:w="0" w:type="dxa"/>
            </w:tcMar>
            <w:vAlign w:val="center"/>
          </w:tcPr>
          <w:p w14:paraId="297DEA7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1.项目负责人(6分):拟派项目负责人</w:t>
            </w:r>
            <w:r>
              <w:rPr>
                <w:rFonts w:hint="eastAsia" w:eastAsia="仿宋_GB2312" w:cs="Times New Roman"/>
                <w:color w:val="auto"/>
                <w:sz w:val="32"/>
                <w:szCs w:val="32"/>
                <w:highlight w:val="none"/>
                <w:lang w:val="en-US" w:eastAsia="zh-CN"/>
              </w:rPr>
              <w:t>须具有环境影响评价工程师得基本分4分；同时具有环保类</w:t>
            </w:r>
            <w:r>
              <w:rPr>
                <w:rFonts w:hint="eastAsia" w:ascii="Times New Roman" w:hAnsi="Times New Roman" w:eastAsia="仿宋_GB2312" w:cs="Times New Roman"/>
                <w:color w:val="auto"/>
                <w:sz w:val="32"/>
                <w:szCs w:val="32"/>
                <w:highlight w:val="none"/>
                <w:lang w:val="en-US" w:eastAsia="zh-CN"/>
              </w:rPr>
              <w:t>高级职称得</w:t>
            </w: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分，中级职称得</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分，没有不得分;</w:t>
            </w:r>
          </w:p>
          <w:p w14:paraId="11A76D7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2.团队成员(8分):除项目负责人外，其他</w:t>
            </w:r>
            <w:r>
              <w:rPr>
                <w:rFonts w:hint="eastAsia" w:eastAsia="仿宋_GB2312" w:cs="Times New Roman"/>
                <w:color w:val="auto"/>
                <w:sz w:val="32"/>
                <w:szCs w:val="32"/>
                <w:highlight w:val="none"/>
                <w:lang w:val="en-US" w:eastAsia="zh-CN"/>
              </w:rPr>
              <w:t>团队</w:t>
            </w:r>
            <w:r>
              <w:rPr>
                <w:rFonts w:hint="eastAsia" w:ascii="Times New Roman" w:hAnsi="Times New Roman" w:eastAsia="仿宋_GB2312" w:cs="Times New Roman"/>
                <w:color w:val="auto"/>
                <w:sz w:val="32"/>
                <w:szCs w:val="32"/>
                <w:highlight w:val="none"/>
                <w:lang w:val="en-US" w:eastAsia="zh-CN"/>
              </w:rPr>
              <w:t>人员</w:t>
            </w:r>
            <w:r>
              <w:rPr>
                <w:rFonts w:hint="eastAsia" w:eastAsia="仿宋_GB2312" w:cs="Times New Roman"/>
                <w:color w:val="auto"/>
                <w:sz w:val="32"/>
                <w:szCs w:val="32"/>
                <w:highlight w:val="none"/>
                <w:lang w:val="en-US" w:eastAsia="zh-CN"/>
              </w:rPr>
              <w:t>需具有环保类中级职称</w:t>
            </w:r>
            <w:r>
              <w:rPr>
                <w:rFonts w:hint="eastAsia" w:ascii="Times New Roman" w:hAnsi="Times New Roman" w:eastAsia="仿宋_GB2312" w:cs="Times New Roman"/>
                <w:color w:val="auto"/>
                <w:sz w:val="32"/>
                <w:szCs w:val="32"/>
                <w:highlight w:val="none"/>
                <w:lang w:val="en-US" w:eastAsia="zh-CN"/>
              </w:rPr>
              <w:t>，每</w:t>
            </w:r>
            <w:r>
              <w:rPr>
                <w:rFonts w:hint="eastAsia" w:eastAsia="仿宋_GB2312" w:cs="Times New Roman"/>
                <w:color w:val="auto"/>
                <w:sz w:val="32"/>
                <w:szCs w:val="32"/>
                <w:highlight w:val="none"/>
                <w:lang w:val="en-US" w:eastAsia="zh-CN"/>
              </w:rPr>
              <w:t>有</w:t>
            </w:r>
            <w:r>
              <w:rPr>
                <w:rFonts w:hint="eastAsia" w:ascii="Times New Roman" w:hAnsi="Times New Roman" w:eastAsia="仿宋_GB2312" w:cs="Times New Roman"/>
                <w:color w:val="auto"/>
                <w:sz w:val="32"/>
                <w:szCs w:val="32"/>
                <w:highlight w:val="none"/>
                <w:lang w:val="en-US" w:eastAsia="zh-CN"/>
              </w:rPr>
              <w:t>1人得4分。(以上人员均需提供聘用合同、半年社保证明、证书复印件等相关材料)。</w:t>
            </w:r>
          </w:p>
          <w:p w14:paraId="5AE83F1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3.企业资质(6分):具有省级行业</w:t>
            </w:r>
            <w:r>
              <w:rPr>
                <w:rFonts w:hint="eastAsia" w:eastAsia="仿宋_GB2312" w:cs="Times New Roman"/>
                <w:color w:val="auto"/>
                <w:sz w:val="32"/>
                <w:szCs w:val="32"/>
                <w:highlight w:val="none"/>
                <w:lang w:val="en-US" w:eastAsia="zh-CN"/>
              </w:rPr>
              <w:t>协会或学会等</w:t>
            </w:r>
            <w:r>
              <w:rPr>
                <w:rFonts w:hint="eastAsia" w:ascii="Times New Roman" w:hAnsi="Times New Roman" w:eastAsia="仿宋_GB2312" w:cs="Times New Roman"/>
                <w:color w:val="auto"/>
                <w:sz w:val="32"/>
                <w:szCs w:val="32"/>
                <w:highlight w:val="none"/>
                <w:lang w:val="en-US" w:eastAsia="zh-CN"/>
              </w:rPr>
              <w:t>评定的环保咨询服务综合能力（且须有环境影响评价能力）得</w:t>
            </w: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分，具有环保技术咨询服务专项能力（环境影响评价、环保工程技术服务等)满足本项目需要得</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分。具有省级行业机构评定的环保咨询专项能力二星的得1分，</w:t>
            </w:r>
            <w:r>
              <w:rPr>
                <w:rFonts w:hint="eastAsia" w:eastAsia="仿宋_GB2312" w:cs="Times New Roman"/>
                <w:color w:val="auto"/>
                <w:sz w:val="32"/>
                <w:szCs w:val="32"/>
                <w:highlight w:val="none"/>
                <w:lang w:val="en-US" w:eastAsia="zh-CN"/>
              </w:rPr>
              <w:t>每增加1星加1分</w:t>
            </w:r>
            <w:r>
              <w:rPr>
                <w:rFonts w:hint="eastAsia" w:ascii="Times New Roman" w:hAnsi="Times New Roman" w:eastAsia="仿宋_GB2312" w:cs="Times New Roman"/>
                <w:color w:val="auto"/>
                <w:sz w:val="32"/>
                <w:szCs w:val="32"/>
                <w:highlight w:val="none"/>
                <w:lang w:val="en-US" w:eastAsia="zh-CN"/>
              </w:rPr>
              <w:t>。(如认证证书注明应进行年度监审，须附监审标识或年审报告等有关证明材料。)</w:t>
            </w:r>
          </w:p>
        </w:tc>
      </w:tr>
      <w:tr w14:paraId="3CE1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704BBD71">
            <w:pPr>
              <w:adjustRightInd w:val="0"/>
              <w:snapToGrid w:val="0"/>
              <w:spacing w:line="24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服务方案</w:t>
            </w:r>
          </w:p>
          <w:p w14:paraId="4C1BF673">
            <w:pPr>
              <w:adjustRightInd w:val="0"/>
              <w:snapToGrid w:val="0"/>
              <w:spacing w:line="24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（30分）</w:t>
            </w:r>
          </w:p>
        </w:tc>
        <w:tc>
          <w:tcPr>
            <w:tcW w:w="6786" w:type="dxa"/>
            <w:tcMar>
              <w:top w:w="0" w:type="dxa"/>
              <w:left w:w="0" w:type="dxa"/>
              <w:bottom w:w="0" w:type="dxa"/>
              <w:right w:w="0" w:type="dxa"/>
            </w:tcMar>
            <w:vAlign w:val="center"/>
          </w:tcPr>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05A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6780" w:type="dxa"/>
                  <w:tcMar>
                    <w:top w:w="0" w:type="dxa"/>
                    <w:left w:w="0" w:type="dxa"/>
                    <w:bottom w:w="0" w:type="dxa"/>
                    <w:right w:w="0" w:type="dxa"/>
                  </w:tcMar>
                  <w:vAlign w:val="center"/>
                </w:tcPr>
                <w:p w14:paraId="76E75D4A">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1.阐述项目</w:t>
                  </w:r>
                  <w:r>
                    <w:rPr>
                      <w:rFonts w:hint="eastAsia" w:ascii="仿宋_GB2312" w:hAnsi="仿宋_GB2312" w:eastAsia="仿宋_GB2312" w:cs="仿宋_GB2312"/>
                      <w:color w:val="auto"/>
                      <w:sz w:val="32"/>
                      <w:szCs w:val="32"/>
                      <w:highlight w:val="none"/>
                      <w:lang w:val="en-US" w:eastAsia="zh-CN"/>
                    </w:rPr>
                    <w:t>环评报告编制</w:t>
                  </w:r>
                  <w:r>
                    <w:rPr>
                      <w:rFonts w:hint="eastAsia" w:ascii="仿宋_GB2312" w:hAnsi="仿宋_GB2312" w:eastAsia="仿宋_GB2312" w:cs="仿宋_GB2312"/>
                      <w:color w:val="auto"/>
                      <w:sz w:val="32"/>
                      <w:szCs w:val="32"/>
                      <w:highlight w:val="none"/>
                      <w:lang w:val="zh-CN"/>
                    </w:rPr>
                    <w:t>的工作内容、工作重点、工作方法和工作流程（</w:t>
                  </w:r>
                  <w:r>
                    <w:rPr>
                      <w:rFonts w:hint="eastAsia" w:ascii="仿宋_GB2312" w:hAnsi="仿宋_GB2312" w:eastAsia="仿宋_GB2312" w:cs="仿宋_GB2312"/>
                      <w:color w:val="auto"/>
                      <w:sz w:val="32"/>
                      <w:szCs w:val="32"/>
                      <w:highlight w:val="none"/>
                      <w:lang w:val="en-US" w:eastAsia="zh-CN"/>
                    </w:rPr>
                    <w:t>15分）：</w:t>
                  </w:r>
                  <w:r>
                    <w:rPr>
                      <w:rFonts w:hint="eastAsia" w:ascii="仿宋_GB2312" w:hAnsi="仿宋_GB2312" w:eastAsia="仿宋_GB2312" w:cs="仿宋_GB2312"/>
                      <w:color w:val="auto"/>
                      <w:sz w:val="32"/>
                      <w:szCs w:val="32"/>
                      <w:highlight w:val="none"/>
                      <w:lang w:val="zh-CN"/>
                    </w:rPr>
                    <w:t>对本项目理解深入、思路清晰、设计方案可行性强得11-15分；对本项目理解较为深入、思路较为清晰、方案基本可行得6-10分；对本项目有一定的理解、思路一般、方案针对性和可操作性一般得1-5分；没有不得分。</w:t>
                  </w:r>
                </w:p>
                <w:p w14:paraId="509493D8">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阐述项目</w:t>
                  </w:r>
                  <w:r>
                    <w:rPr>
                      <w:rFonts w:hint="eastAsia" w:ascii="仿宋_GB2312" w:hAnsi="仿宋_GB2312" w:eastAsia="仿宋_GB2312" w:cs="仿宋_GB2312"/>
                      <w:color w:val="auto"/>
                      <w:sz w:val="32"/>
                      <w:szCs w:val="32"/>
                      <w:highlight w:val="none"/>
                      <w:lang w:val="en-US" w:eastAsia="zh-CN"/>
                    </w:rPr>
                    <w:t>环评报告编制</w:t>
                  </w:r>
                  <w:r>
                    <w:rPr>
                      <w:rFonts w:hint="eastAsia" w:ascii="仿宋_GB2312" w:hAnsi="仿宋_GB2312" w:eastAsia="仿宋_GB2312" w:cs="仿宋_GB2312"/>
                      <w:color w:val="auto"/>
                      <w:sz w:val="32"/>
                      <w:szCs w:val="32"/>
                      <w:highlight w:val="none"/>
                      <w:lang w:val="zh-CN"/>
                    </w:rPr>
                    <w:t>过程中的质量承诺及保证措施（</w:t>
                  </w:r>
                  <w:r>
                    <w:rPr>
                      <w:rFonts w:hint="eastAsia" w:ascii="仿宋_GB2312" w:hAnsi="仿宋_GB2312" w:eastAsia="仿宋_GB2312" w:cs="仿宋_GB2312"/>
                      <w:color w:val="auto"/>
                      <w:sz w:val="32"/>
                      <w:szCs w:val="32"/>
                      <w:highlight w:val="none"/>
                      <w:lang w:val="en-US" w:eastAsia="zh-CN"/>
                    </w:rPr>
                    <w:t>10分）：</w:t>
                  </w:r>
                  <w:r>
                    <w:rPr>
                      <w:rFonts w:hint="eastAsia" w:ascii="仿宋_GB2312" w:hAnsi="仿宋_GB2312" w:eastAsia="仿宋_GB2312" w:cs="仿宋_GB2312"/>
                      <w:color w:val="auto"/>
                      <w:sz w:val="32"/>
                      <w:szCs w:val="32"/>
                      <w:highlight w:val="none"/>
                      <w:lang w:val="zh-CN"/>
                    </w:rPr>
                    <w:t>质量管理体系完善、保证措施科学、合理得7-10分；</w:t>
                  </w:r>
                  <w:r>
                    <w:rPr>
                      <w:rFonts w:hint="eastAsia" w:ascii="仿宋_GB2312" w:hAnsi="仿宋_GB2312" w:eastAsia="仿宋_GB2312" w:cs="仿宋_GB2312"/>
                      <w:color w:val="auto"/>
                      <w:sz w:val="32"/>
                      <w:szCs w:val="32"/>
                      <w:highlight w:val="none"/>
                      <w:lang w:val="en-US" w:eastAsia="zh-CN"/>
                    </w:rPr>
                    <w:t>质</w:t>
                  </w:r>
                  <w:r>
                    <w:rPr>
                      <w:rFonts w:hint="eastAsia" w:ascii="仿宋_GB2312" w:hAnsi="仿宋_GB2312" w:eastAsia="仿宋_GB2312" w:cs="仿宋_GB2312"/>
                      <w:color w:val="auto"/>
                      <w:sz w:val="32"/>
                      <w:szCs w:val="32"/>
                      <w:highlight w:val="none"/>
                      <w:lang w:val="zh-CN"/>
                    </w:rPr>
                    <w:t>量管理体系较完善、保证措施可行得4-6分；质量管理体系简单、保证措施一般得1-3分，没有不得分；</w:t>
                  </w:r>
                </w:p>
                <w:p w14:paraId="709EF2A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服务周期保障方案（5分）：</w:t>
                  </w:r>
                  <w:r>
                    <w:rPr>
                      <w:rFonts w:hint="default" w:ascii="Times New Roman" w:hAnsi="Times New Roman" w:eastAsia="仿宋_GB2312" w:cs="Times New Roman"/>
                      <w:color w:val="auto"/>
                      <w:sz w:val="32"/>
                      <w:szCs w:val="32"/>
                      <w:highlight w:val="none"/>
                      <w:lang w:val="en-US" w:eastAsia="zh-CN"/>
                    </w:rPr>
                    <w:t>针对本项目</w:t>
                  </w:r>
                  <w:r>
                    <w:rPr>
                      <w:rFonts w:hint="eastAsia" w:ascii="Times New Roman" w:hAnsi="Times New Roman" w:eastAsia="仿宋_GB2312" w:cs="Times New Roman"/>
                      <w:color w:val="auto"/>
                      <w:sz w:val="32"/>
                      <w:szCs w:val="32"/>
                      <w:highlight w:val="none"/>
                      <w:lang w:val="en-US" w:eastAsia="zh-CN"/>
                    </w:rPr>
                    <w:t>服务周期</w:t>
                  </w:r>
                  <w:r>
                    <w:rPr>
                      <w:rFonts w:hint="default" w:ascii="Times New Roman" w:hAnsi="Times New Roman" w:eastAsia="仿宋_GB2312" w:cs="Times New Roman"/>
                      <w:color w:val="auto"/>
                      <w:sz w:val="32"/>
                      <w:szCs w:val="32"/>
                      <w:highlight w:val="none"/>
                      <w:lang w:val="en-US" w:eastAsia="zh-CN"/>
                    </w:rPr>
                    <w:t>要求，制定出具体保证措施，</w:t>
                  </w:r>
                  <w:r>
                    <w:rPr>
                      <w:rFonts w:hint="eastAsia" w:ascii="Times New Roman" w:hAnsi="Times New Roman" w:eastAsia="仿宋_GB2312" w:cs="Times New Roman"/>
                      <w:color w:val="auto"/>
                      <w:sz w:val="32"/>
                      <w:szCs w:val="32"/>
                      <w:highlight w:val="none"/>
                      <w:lang w:val="en-US" w:eastAsia="zh-CN"/>
                    </w:rPr>
                    <w:t>优秀得4-5分、良好得2-3分、一般得1分、没有不得分。</w:t>
                  </w:r>
                </w:p>
              </w:tc>
            </w:tr>
          </w:tbl>
          <w:p w14:paraId="4439F2B4">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jc w:val="both"/>
              <w:rPr>
                <w:rFonts w:hint="eastAsia" w:ascii="仿宋_GB2312" w:hAnsi="仿宋_GB2312" w:eastAsia="仿宋_GB2312" w:cs="仿宋_GB2312"/>
                <w:color w:val="auto"/>
                <w:sz w:val="32"/>
                <w:szCs w:val="32"/>
                <w:lang w:val="zh-CN"/>
              </w:rPr>
            </w:pP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A211570">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9"/>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2FE2B83"/>
    <w:rsid w:val="033A76CC"/>
    <w:rsid w:val="04137DFA"/>
    <w:rsid w:val="04760788"/>
    <w:rsid w:val="0477594A"/>
    <w:rsid w:val="04A6281D"/>
    <w:rsid w:val="04AC5B58"/>
    <w:rsid w:val="04F57BCC"/>
    <w:rsid w:val="059A64CC"/>
    <w:rsid w:val="059B3032"/>
    <w:rsid w:val="065A0AB0"/>
    <w:rsid w:val="07400AFC"/>
    <w:rsid w:val="07FF36BC"/>
    <w:rsid w:val="0A2C0437"/>
    <w:rsid w:val="0B554C24"/>
    <w:rsid w:val="0BFD4952"/>
    <w:rsid w:val="0DCD1AE2"/>
    <w:rsid w:val="0F1958F7"/>
    <w:rsid w:val="100B7DD6"/>
    <w:rsid w:val="10C132FE"/>
    <w:rsid w:val="117E16C8"/>
    <w:rsid w:val="119213B2"/>
    <w:rsid w:val="12277102"/>
    <w:rsid w:val="12D9134B"/>
    <w:rsid w:val="12FD3C21"/>
    <w:rsid w:val="13926BAE"/>
    <w:rsid w:val="139C6AE3"/>
    <w:rsid w:val="15B96C5E"/>
    <w:rsid w:val="16262886"/>
    <w:rsid w:val="163E28D0"/>
    <w:rsid w:val="17155F13"/>
    <w:rsid w:val="171862DF"/>
    <w:rsid w:val="17601293"/>
    <w:rsid w:val="17A51BCE"/>
    <w:rsid w:val="17C20C6F"/>
    <w:rsid w:val="1B507B0C"/>
    <w:rsid w:val="1C835196"/>
    <w:rsid w:val="1CEB654E"/>
    <w:rsid w:val="1DC22489"/>
    <w:rsid w:val="1E6710C6"/>
    <w:rsid w:val="1F1664EC"/>
    <w:rsid w:val="20BA4033"/>
    <w:rsid w:val="21B04977"/>
    <w:rsid w:val="22286977"/>
    <w:rsid w:val="225A62E9"/>
    <w:rsid w:val="22900BB2"/>
    <w:rsid w:val="234B5C3C"/>
    <w:rsid w:val="250B339C"/>
    <w:rsid w:val="25B415F5"/>
    <w:rsid w:val="27B5129D"/>
    <w:rsid w:val="27BF38CF"/>
    <w:rsid w:val="283F1AED"/>
    <w:rsid w:val="28965972"/>
    <w:rsid w:val="28B62672"/>
    <w:rsid w:val="29B575A9"/>
    <w:rsid w:val="29E1276B"/>
    <w:rsid w:val="2AED38D4"/>
    <w:rsid w:val="2B581BF2"/>
    <w:rsid w:val="2BC62952"/>
    <w:rsid w:val="2CC66F08"/>
    <w:rsid w:val="2EC3522E"/>
    <w:rsid w:val="30305D0A"/>
    <w:rsid w:val="3078676B"/>
    <w:rsid w:val="309143F1"/>
    <w:rsid w:val="30B94B60"/>
    <w:rsid w:val="331104CE"/>
    <w:rsid w:val="33F17549"/>
    <w:rsid w:val="366D7797"/>
    <w:rsid w:val="36EC5FD8"/>
    <w:rsid w:val="370E4907"/>
    <w:rsid w:val="37CD3840"/>
    <w:rsid w:val="38496769"/>
    <w:rsid w:val="384B1BA2"/>
    <w:rsid w:val="396F1F22"/>
    <w:rsid w:val="399765E7"/>
    <w:rsid w:val="39B06AF4"/>
    <w:rsid w:val="3ADE6BB9"/>
    <w:rsid w:val="3B104C50"/>
    <w:rsid w:val="3B4A016F"/>
    <w:rsid w:val="3B930354"/>
    <w:rsid w:val="3BFE6232"/>
    <w:rsid w:val="3C5B20E6"/>
    <w:rsid w:val="3D1D6AF8"/>
    <w:rsid w:val="3E1360A0"/>
    <w:rsid w:val="3E5548D7"/>
    <w:rsid w:val="3EE04C6E"/>
    <w:rsid w:val="3F5930F5"/>
    <w:rsid w:val="3FE27BA0"/>
    <w:rsid w:val="4070746C"/>
    <w:rsid w:val="413F5B16"/>
    <w:rsid w:val="4290206D"/>
    <w:rsid w:val="438D7307"/>
    <w:rsid w:val="442A5BD9"/>
    <w:rsid w:val="454A3AE3"/>
    <w:rsid w:val="45502C7D"/>
    <w:rsid w:val="461026EE"/>
    <w:rsid w:val="464042EF"/>
    <w:rsid w:val="468F1307"/>
    <w:rsid w:val="47B42BE7"/>
    <w:rsid w:val="47FB2A68"/>
    <w:rsid w:val="48774A9B"/>
    <w:rsid w:val="4A3D2009"/>
    <w:rsid w:val="4B2116C3"/>
    <w:rsid w:val="4B6B4494"/>
    <w:rsid w:val="4BAF6E8A"/>
    <w:rsid w:val="4F71212E"/>
    <w:rsid w:val="4FDC1809"/>
    <w:rsid w:val="4FF27880"/>
    <w:rsid w:val="504C2670"/>
    <w:rsid w:val="51600723"/>
    <w:rsid w:val="51F779E0"/>
    <w:rsid w:val="531862B9"/>
    <w:rsid w:val="53A92F5C"/>
    <w:rsid w:val="53DF5474"/>
    <w:rsid w:val="53E21C7B"/>
    <w:rsid w:val="545568EB"/>
    <w:rsid w:val="550D2C2F"/>
    <w:rsid w:val="5549003E"/>
    <w:rsid w:val="58517D83"/>
    <w:rsid w:val="58535244"/>
    <w:rsid w:val="589C7FC2"/>
    <w:rsid w:val="58A9515A"/>
    <w:rsid w:val="596040BD"/>
    <w:rsid w:val="5A0803C7"/>
    <w:rsid w:val="5BFB48DE"/>
    <w:rsid w:val="5CF873CF"/>
    <w:rsid w:val="5DA12EF6"/>
    <w:rsid w:val="5FC5630F"/>
    <w:rsid w:val="5FF767C5"/>
    <w:rsid w:val="606B0879"/>
    <w:rsid w:val="61215F42"/>
    <w:rsid w:val="62641F69"/>
    <w:rsid w:val="629E645C"/>
    <w:rsid w:val="62A20064"/>
    <w:rsid w:val="62F72DBF"/>
    <w:rsid w:val="63204DAD"/>
    <w:rsid w:val="635A1B7D"/>
    <w:rsid w:val="63B41DA5"/>
    <w:rsid w:val="64555C7B"/>
    <w:rsid w:val="655F1E1A"/>
    <w:rsid w:val="658E425E"/>
    <w:rsid w:val="67934844"/>
    <w:rsid w:val="68F608D3"/>
    <w:rsid w:val="6AD87C8C"/>
    <w:rsid w:val="6B6E6EE6"/>
    <w:rsid w:val="6BA97B57"/>
    <w:rsid w:val="6BDE6FE6"/>
    <w:rsid w:val="6BE15BE4"/>
    <w:rsid w:val="6CAC04F4"/>
    <w:rsid w:val="6D6535F8"/>
    <w:rsid w:val="706758D9"/>
    <w:rsid w:val="70722F5B"/>
    <w:rsid w:val="70D44079"/>
    <w:rsid w:val="71A2163F"/>
    <w:rsid w:val="71AB32FD"/>
    <w:rsid w:val="74D3675E"/>
    <w:rsid w:val="74F51705"/>
    <w:rsid w:val="768D3F82"/>
    <w:rsid w:val="775B1880"/>
    <w:rsid w:val="77E57406"/>
    <w:rsid w:val="79DA0070"/>
    <w:rsid w:val="79E97840"/>
    <w:rsid w:val="7BD60CC6"/>
    <w:rsid w:val="7BDD1145"/>
    <w:rsid w:val="7BE03191"/>
    <w:rsid w:val="7C222C76"/>
    <w:rsid w:val="7CFF19AA"/>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1274</Words>
  <Characters>1334</Characters>
  <Lines>0</Lines>
  <Paragraphs>0</Paragraphs>
  <TotalTime>24</TotalTime>
  <ScaleCrop>false</ScaleCrop>
  <LinksUpToDate>false</LinksUpToDate>
  <CharactersWithSpaces>1362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2025-11-28T01:57:00Z</cp:lastPrinted>
  <dcterms:modified xsi:type="dcterms:W3CDTF">2026-02-12T07:04:45Z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E64D63A54FD749CF89BCAB35AFB8B8B5_13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