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065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026700C0">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2D6B5C07">
      <w:pPr>
        <w:shd w:val="clear" w:color="auto" w:fill="auto"/>
        <w:spacing w:line="560" w:lineRule="exact"/>
        <w:jc w:val="center"/>
        <w:rPr>
          <w:rFonts w:ascii="仿宋_GB2312" w:hAnsi="仿宋" w:eastAsia="仿宋_GB2312" w:cs="仿宋"/>
          <w:b/>
          <w:sz w:val="32"/>
          <w:szCs w:val="32"/>
        </w:rPr>
      </w:pPr>
    </w:p>
    <w:tbl>
      <w:tblPr>
        <w:tblStyle w:val="14"/>
        <w:tblW w:w="8420" w:type="dxa"/>
        <w:tblInd w:w="0" w:type="dxa"/>
        <w:tblLayout w:type="fixed"/>
        <w:tblCellMar>
          <w:top w:w="15" w:type="dxa"/>
          <w:left w:w="15" w:type="dxa"/>
          <w:bottom w:w="15" w:type="dxa"/>
          <w:right w:w="15" w:type="dxa"/>
        </w:tblCellMar>
      </w:tblPr>
      <w:tblGrid>
        <w:gridCol w:w="3039"/>
        <w:gridCol w:w="5381"/>
      </w:tblGrid>
      <w:tr w14:paraId="3A64CCEB">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5AB44903">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381" w:type="dxa"/>
            <w:tcBorders>
              <w:top w:val="single" w:color="000000" w:sz="4" w:space="0"/>
              <w:left w:val="single" w:color="000000" w:sz="4" w:space="0"/>
              <w:bottom w:val="single" w:color="000000" w:sz="4" w:space="0"/>
              <w:right w:val="single" w:color="000000" w:sz="4" w:space="0"/>
            </w:tcBorders>
            <w:vAlign w:val="center"/>
          </w:tcPr>
          <w:p w14:paraId="7BAB1329">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108辆新能源环卫车“驾乘人员团体意外伤害保险”服务采购项目比选</w:t>
            </w:r>
          </w:p>
        </w:tc>
      </w:tr>
      <w:tr w14:paraId="466A1EF1">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right w:val="single" w:color="000000" w:sz="4" w:space="0"/>
            </w:tcBorders>
            <w:vAlign w:val="center"/>
          </w:tcPr>
          <w:p w14:paraId="4F3930BF">
            <w:pPr>
              <w:widowControl/>
              <w:shd w:val="clear" w:color="auto" w:fill="auto"/>
              <w:spacing w:line="560" w:lineRule="exact"/>
              <w:jc w:val="center"/>
              <w:textAlignment w:val="center"/>
              <w:rPr>
                <w:rFonts w:hint="eastAsia" w:ascii="仿宋_GB2312" w:hAnsi="宋体" w:eastAsia="仿宋_GB2312" w:cs="仿宋_GB2312"/>
                <w:b/>
                <w:color w:val="000000"/>
                <w:sz w:val="32"/>
                <w:szCs w:val="32"/>
                <w:lang w:eastAsia="zh-CN"/>
              </w:rPr>
            </w:pPr>
            <w:r>
              <w:rPr>
                <w:rFonts w:hint="eastAsia" w:ascii="仿宋_GB2312" w:hAnsi="宋体" w:eastAsia="仿宋_GB2312" w:cs="仿宋_GB2312"/>
                <w:b/>
                <w:color w:val="000000"/>
                <w:kern w:val="0"/>
                <w:sz w:val="32"/>
                <w:szCs w:val="32"/>
                <w:lang w:bidi="ar"/>
              </w:rPr>
              <w:t>申请人</w:t>
            </w:r>
            <w:r>
              <w:rPr>
                <w:rFonts w:hint="eastAsia" w:ascii="仿宋_GB2312" w:hAnsi="宋体" w:eastAsia="仿宋_GB2312" w:cs="仿宋_GB2312"/>
                <w:b/>
                <w:color w:val="000000"/>
                <w:kern w:val="0"/>
                <w:sz w:val="32"/>
                <w:szCs w:val="32"/>
                <w:lang w:eastAsia="zh-CN" w:bidi="ar"/>
              </w:rPr>
              <w:t>（</w:t>
            </w:r>
            <w:r>
              <w:rPr>
                <w:rFonts w:hint="eastAsia" w:ascii="仿宋_GB2312" w:hAnsi="宋体" w:eastAsia="仿宋_GB2312" w:cs="仿宋_GB2312"/>
                <w:b/>
                <w:color w:val="000000"/>
                <w:kern w:val="0"/>
                <w:sz w:val="32"/>
                <w:szCs w:val="32"/>
                <w:lang w:val="en-US" w:eastAsia="zh-CN" w:bidi="ar"/>
              </w:rPr>
              <w:t>公章</w:t>
            </w:r>
            <w:r>
              <w:rPr>
                <w:rFonts w:hint="eastAsia" w:ascii="仿宋_GB2312" w:hAnsi="宋体" w:eastAsia="仿宋_GB2312" w:cs="仿宋_GB2312"/>
                <w:b/>
                <w:color w:val="000000"/>
                <w:kern w:val="0"/>
                <w:sz w:val="32"/>
                <w:szCs w:val="32"/>
                <w:lang w:eastAsia="zh-CN" w:bidi="ar"/>
              </w:rPr>
              <w:t>）</w:t>
            </w:r>
          </w:p>
        </w:tc>
        <w:tc>
          <w:tcPr>
            <w:tcW w:w="5381" w:type="dxa"/>
            <w:tcBorders>
              <w:top w:val="single" w:color="000000" w:sz="4" w:space="0"/>
              <w:left w:val="single" w:color="000000" w:sz="4" w:space="0"/>
              <w:bottom w:val="single" w:color="000000" w:sz="4" w:space="0"/>
              <w:right w:val="single" w:color="000000" w:sz="4" w:space="0"/>
            </w:tcBorders>
            <w:vAlign w:val="center"/>
          </w:tcPr>
          <w:p w14:paraId="6AA73A9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2A7240D">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7EAFD40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381" w:type="dxa"/>
            <w:tcBorders>
              <w:top w:val="single" w:color="000000" w:sz="4" w:space="0"/>
              <w:left w:val="single" w:color="000000" w:sz="4" w:space="0"/>
              <w:bottom w:val="single" w:color="000000" w:sz="4" w:space="0"/>
              <w:right w:val="single" w:color="000000" w:sz="4" w:space="0"/>
            </w:tcBorders>
            <w:vAlign w:val="center"/>
          </w:tcPr>
          <w:p w14:paraId="1CDDF8D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09F2FD77">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49D4CD11">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381" w:type="dxa"/>
            <w:tcBorders>
              <w:top w:val="single" w:color="000000" w:sz="4" w:space="0"/>
              <w:left w:val="single" w:color="000000" w:sz="4" w:space="0"/>
              <w:bottom w:val="single" w:color="000000" w:sz="4" w:space="0"/>
              <w:right w:val="single" w:color="000000" w:sz="4" w:space="0"/>
            </w:tcBorders>
            <w:vAlign w:val="center"/>
          </w:tcPr>
          <w:p w14:paraId="27FE828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人民币（含税价）</w:t>
            </w:r>
            <w:r>
              <w:rPr>
                <w:rFonts w:hint="eastAsia" w:ascii="仿宋_GB2312" w:hAnsi="宋体" w:eastAsia="仿宋_GB2312" w:cs="仿宋_GB2312"/>
                <w:b/>
                <w:color w:val="000000"/>
                <w:kern w:val="0"/>
                <w:sz w:val="32"/>
                <w:szCs w:val="32"/>
                <w:u w:val="single"/>
                <w:lang w:val="en-US" w:eastAsia="zh-CN" w:bidi="ar"/>
              </w:rPr>
              <w:t xml:space="preserve">          </w:t>
            </w:r>
            <w:r>
              <w:rPr>
                <w:rFonts w:hint="eastAsia" w:ascii="仿宋_GB2312" w:hAnsi="宋体" w:eastAsia="仿宋_GB2312" w:cs="仿宋_GB2312"/>
                <w:b/>
                <w:color w:val="000000"/>
                <w:kern w:val="0"/>
                <w:sz w:val="32"/>
                <w:szCs w:val="32"/>
                <w:lang w:val="en-US" w:eastAsia="zh-CN" w:bidi="ar"/>
              </w:rPr>
              <w:t>元</w:t>
            </w:r>
          </w:p>
        </w:tc>
      </w:tr>
      <w:tr w14:paraId="20EED53D">
        <w:tblPrEx>
          <w:tblCellMar>
            <w:top w:w="15" w:type="dxa"/>
            <w:left w:w="15" w:type="dxa"/>
            <w:bottom w:w="15" w:type="dxa"/>
            <w:right w:w="15" w:type="dxa"/>
          </w:tblCellMar>
        </w:tblPrEx>
        <w:trPr>
          <w:trHeight w:val="1720"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43338197">
            <w:pPr>
              <w:pStyle w:val="1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default"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法定代表人或</w:t>
            </w:r>
          </w:p>
          <w:p w14:paraId="1D6E020D">
            <w:pPr>
              <w:pStyle w:val="1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eastAsia"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授权</w:t>
            </w:r>
            <w:r>
              <w:rPr>
                <w:rFonts w:hint="eastAsia" w:ascii="仿宋_GB2312" w:hAnsi="宋体" w:eastAsia="仿宋_GB2312" w:cs="仿宋_GB2312"/>
                <w:b/>
                <w:color w:val="000000"/>
                <w:kern w:val="0"/>
                <w:sz w:val="32"/>
                <w:szCs w:val="32"/>
                <w:lang w:val="en-US" w:eastAsia="zh-CN" w:bidi="ar"/>
              </w:rPr>
              <w:t>代</w:t>
            </w:r>
            <w:r>
              <w:rPr>
                <w:rFonts w:hint="default" w:ascii="仿宋_GB2312" w:hAnsi="宋体" w:eastAsia="仿宋_GB2312" w:cs="仿宋_GB2312"/>
                <w:b/>
                <w:color w:val="000000"/>
                <w:kern w:val="0"/>
                <w:sz w:val="32"/>
                <w:szCs w:val="32"/>
                <w:lang w:val="en-US" w:eastAsia="zh-CN" w:bidi="ar"/>
              </w:rPr>
              <w:t>表姓名</w:t>
            </w:r>
            <w:r>
              <w:rPr>
                <w:rFonts w:hint="eastAsia" w:ascii="仿宋_GB2312" w:hAnsi="宋体" w:eastAsia="仿宋_GB2312" w:cs="仿宋_GB2312"/>
                <w:b/>
                <w:color w:val="000000"/>
                <w:kern w:val="0"/>
                <w:sz w:val="32"/>
                <w:szCs w:val="32"/>
                <w:lang w:val="en-US" w:eastAsia="zh-CN" w:bidi="ar"/>
              </w:rPr>
              <w:t>及</w:t>
            </w:r>
            <w:r>
              <w:rPr>
                <w:rFonts w:hint="default" w:ascii="仿宋_GB2312" w:hAnsi="宋体" w:eastAsia="仿宋_GB2312" w:cs="仿宋_GB2312"/>
                <w:b/>
                <w:color w:val="000000"/>
                <w:kern w:val="0"/>
                <w:sz w:val="32"/>
                <w:szCs w:val="32"/>
                <w:lang w:val="en-US" w:eastAsia="zh-CN" w:bidi="ar"/>
              </w:rPr>
              <w:t>联系电话（手机）</w:t>
            </w:r>
          </w:p>
          <w:p w14:paraId="376B32C9">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c>
          <w:tcPr>
            <w:tcW w:w="5381" w:type="dxa"/>
            <w:tcBorders>
              <w:top w:val="single" w:color="000000" w:sz="4" w:space="0"/>
              <w:left w:val="single" w:color="000000" w:sz="4" w:space="0"/>
              <w:bottom w:val="single" w:color="000000" w:sz="4" w:space="0"/>
              <w:right w:val="single" w:color="000000" w:sz="4" w:space="0"/>
            </w:tcBorders>
            <w:vAlign w:val="center"/>
          </w:tcPr>
          <w:p w14:paraId="54D28AF7">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r>
    </w:tbl>
    <w:p w14:paraId="684CBCD2">
      <w:pPr>
        <w:shd w:val="clear" w:color="auto" w:fill="auto"/>
        <w:adjustRightInd w:val="0"/>
        <w:spacing w:line="560" w:lineRule="exact"/>
        <w:jc w:val="both"/>
        <w:rPr>
          <w:rFonts w:hint="eastAsia" w:ascii="仿宋_GB2312" w:hAnsi="仿宋_GB2312" w:eastAsia="仿宋_GB2312" w:cs="仿宋_GB2312"/>
          <w:sz w:val="32"/>
          <w:szCs w:val="32"/>
          <w:highlight w:val="none"/>
          <w:lang w:val="en-US" w:eastAsia="zh-CN"/>
        </w:rPr>
      </w:pPr>
    </w:p>
    <w:p w14:paraId="402D3147">
      <w:pPr>
        <w:pStyle w:val="5"/>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2FD1AE5B">
      <w:pPr>
        <w:rPr>
          <w:rFonts w:hint="eastAsia" w:ascii="仿宋_GB2312" w:hAnsi="仿宋_GB2312" w:eastAsia="仿宋_GB2312" w:cs="仿宋_GB2312"/>
          <w:sz w:val="32"/>
          <w:szCs w:val="32"/>
          <w:highlight w:val="none"/>
          <w:lang w:val="en-US" w:eastAsia="zh-CN"/>
        </w:rPr>
      </w:pPr>
    </w:p>
    <w:p w14:paraId="6E3B89F0">
      <w:pPr>
        <w:rPr>
          <w:rFonts w:hint="eastAsia" w:ascii="仿宋_GB2312" w:hAnsi="仿宋_GB2312" w:eastAsia="仿宋_GB2312" w:cs="仿宋_GB2312"/>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7ECFABDD">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7EE9748">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0D6769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1CD9C1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A8236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4F69A06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377294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100C9B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698"/>
        <w:gridCol w:w="5821"/>
      </w:tblGrid>
      <w:tr w14:paraId="2A5B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666" w:type="pct"/>
            <w:gridSpan w:val="2"/>
            <w:vAlign w:val="center"/>
          </w:tcPr>
          <w:p w14:paraId="21C321EE">
            <w:pPr>
              <w:keepNext w:val="0"/>
              <w:keepLines w:val="0"/>
              <w:pageBreakBefore w:val="0"/>
              <w:widowControl w:val="0"/>
              <w:kinsoku/>
              <w:wordWrap/>
              <w:overflowPunct/>
              <w:topLinePunct w:val="0"/>
              <w:bidi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分值构成</w:t>
            </w:r>
          </w:p>
          <w:p w14:paraId="3668EF17">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(总分100分)</w:t>
            </w:r>
          </w:p>
        </w:tc>
        <w:tc>
          <w:tcPr>
            <w:tcW w:w="3333" w:type="pct"/>
            <w:vAlign w:val="center"/>
          </w:tcPr>
          <w:p w14:paraId="310AB268">
            <w:pPr>
              <w:pStyle w:val="19"/>
              <w:keepNext w:val="0"/>
              <w:keepLines w:val="0"/>
              <w:pageBreakBefore w:val="0"/>
              <w:widowControl w:val="0"/>
              <w:numPr>
                <w:ilvl w:val="0"/>
                <w:numId w:val="0"/>
              </w:numPr>
              <w:kinsoku/>
              <w:wordWrap/>
              <w:overflowPunct/>
              <w:topLinePunct w:val="0"/>
              <w:autoSpaceDE/>
              <w:autoSpaceDN/>
              <w:bidi w:val="0"/>
              <w:adjustRightInd w:val="0"/>
              <w:snapToGrid/>
              <w:ind w:left="0" w:leftChars="0" w:right="0" w:firstLine="0"/>
              <w:jc w:val="center"/>
              <w:textAlignment w:val="baseline"/>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价格分值：</w:t>
            </w:r>
            <w:r>
              <w:rPr>
                <w:rFonts w:hint="eastAsia" w:cs="仿宋_GB2312" w:asciiTheme="minorEastAsia" w:hAnsiTheme="minorEastAsia" w:eastAsiaTheme="minorEastAsia"/>
                <w:color w:val="auto"/>
                <w:kern w:val="2"/>
                <w:sz w:val="30"/>
                <w:szCs w:val="30"/>
                <w:highlight w:val="none"/>
                <w:lang w:val="en-US" w:eastAsia="zh-CN"/>
              </w:rPr>
              <w:t>20</w:t>
            </w:r>
            <w:r>
              <w:rPr>
                <w:rFonts w:hint="eastAsia" w:cs="仿宋_GB2312" w:asciiTheme="minorEastAsia" w:hAnsiTheme="minorEastAsia" w:eastAsiaTheme="minorEastAsia"/>
                <w:color w:val="auto"/>
                <w:kern w:val="2"/>
                <w:sz w:val="30"/>
                <w:szCs w:val="30"/>
                <w:highlight w:val="none"/>
                <w:lang w:val="zh-CN"/>
              </w:rPr>
              <w:t>分</w:t>
            </w:r>
          </w:p>
          <w:p w14:paraId="787475BA">
            <w:pPr>
              <w:pStyle w:val="19"/>
              <w:keepNext w:val="0"/>
              <w:keepLines w:val="0"/>
              <w:pageBreakBefore w:val="0"/>
              <w:widowControl w:val="0"/>
              <w:numPr>
                <w:ilvl w:val="0"/>
                <w:numId w:val="0"/>
              </w:numPr>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商务部分：</w:t>
            </w:r>
            <w:r>
              <w:rPr>
                <w:rFonts w:hint="eastAsia" w:cs="仿宋_GB2312" w:asciiTheme="minorEastAsia" w:hAnsiTheme="minorEastAsia" w:eastAsiaTheme="minorEastAsia"/>
                <w:color w:val="auto"/>
                <w:kern w:val="2"/>
                <w:sz w:val="30"/>
                <w:szCs w:val="30"/>
                <w:highlight w:val="none"/>
                <w:lang w:val="en-US" w:eastAsia="zh-CN"/>
              </w:rPr>
              <w:t>35</w:t>
            </w:r>
            <w:r>
              <w:rPr>
                <w:rFonts w:hint="eastAsia" w:cs="仿宋_GB2312" w:asciiTheme="minorEastAsia" w:hAnsiTheme="minorEastAsia" w:eastAsiaTheme="minorEastAsia"/>
                <w:color w:val="auto"/>
                <w:kern w:val="2"/>
                <w:sz w:val="30"/>
                <w:szCs w:val="30"/>
                <w:highlight w:val="none"/>
                <w:lang w:val="zh-CN"/>
              </w:rPr>
              <w:t>分</w:t>
            </w:r>
          </w:p>
          <w:p w14:paraId="7592FE3D">
            <w:pPr>
              <w:pStyle w:val="19"/>
              <w:keepNext w:val="0"/>
              <w:keepLines w:val="0"/>
              <w:pageBreakBefore w:val="0"/>
              <w:widowControl w:val="0"/>
              <w:numPr>
                <w:ilvl w:val="0"/>
                <w:numId w:val="0"/>
              </w:numPr>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技术部分：</w:t>
            </w:r>
            <w:r>
              <w:rPr>
                <w:rFonts w:hint="eastAsia" w:cs="仿宋_GB2312" w:asciiTheme="minorEastAsia" w:hAnsiTheme="minorEastAsia" w:eastAsiaTheme="minorEastAsia"/>
                <w:color w:val="auto"/>
                <w:kern w:val="2"/>
                <w:sz w:val="30"/>
                <w:szCs w:val="30"/>
                <w:highlight w:val="none"/>
                <w:lang w:val="en-US" w:eastAsia="zh-CN"/>
              </w:rPr>
              <w:t>45</w:t>
            </w:r>
            <w:r>
              <w:rPr>
                <w:rFonts w:hint="eastAsia" w:cs="仿宋_GB2312" w:asciiTheme="minorEastAsia" w:hAnsiTheme="minorEastAsia" w:eastAsiaTheme="minorEastAsia"/>
                <w:color w:val="auto"/>
                <w:kern w:val="2"/>
                <w:sz w:val="30"/>
                <w:szCs w:val="30"/>
                <w:highlight w:val="none"/>
                <w:lang w:val="zh-CN"/>
              </w:rPr>
              <w:t>分</w:t>
            </w:r>
          </w:p>
        </w:tc>
      </w:tr>
      <w:tr w14:paraId="670A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94" w:type="pct"/>
            <w:vAlign w:val="center"/>
          </w:tcPr>
          <w:p w14:paraId="3A7EED0A">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评审项</w:t>
            </w:r>
          </w:p>
        </w:tc>
        <w:tc>
          <w:tcPr>
            <w:tcW w:w="971" w:type="pct"/>
            <w:vAlign w:val="center"/>
          </w:tcPr>
          <w:p w14:paraId="4DA5FDB8">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评分因素</w:t>
            </w:r>
          </w:p>
        </w:tc>
        <w:tc>
          <w:tcPr>
            <w:tcW w:w="3333" w:type="pct"/>
            <w:vAlign w:val="center"/>
          </w:tcPr>
          <w:p w14:paraId="62982E65">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评标标准</w:t>
            </w:r>
          </w:p>
        </w:tc>
      </w:tr>
      <w:tr w14:paraId="39AC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94" w:type="pct"/>
            <w:vAlign w:val="center"/>
          </w:tcPr>
          <w:p w14:paraId="7D69C5EF">
            <w:pPr>
              <w:keepNext w:val="0"/>
              <w:keepLines w:val="0"/>
              <w:pageBreakBefore w:val="0"/>
              <w:widowControl w:val="0"/>
              <w:kinsoku/>
              <w:wordWrap/>
              <w:overflowPunct/>
              <w:topLinePunct w:val="0"/>
              <w:bidi w:val="0"/>
              <w:snapToGrid w:val="0"/>
              <w:ind w:left="6" w:leftChars="0" w:right="0" w:hanging="6" w:hangingChars="2"/>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价格分</w:t>
            </w:r>
          </w:p>
          <w:p w14:paraId="7CA8CC35">
            <w:pPr>
              <w:keepNext w:val="0"/>
              <w:keepLines w:val="0"/>
              <w:pageBreakBefore w:val="0"/>
              <w:widowControl w:val="0"/>
              <w:kinsoku/>
              <w:wordWrap/>
              <w:overflowPunct/>
              <w:topLinePunct w:val="0"/>
              <w:bidi w:val="0"/>
              <w:snapToGrid w:val="0"/>
              <w:ind w:left="6" w:leftChars="0" w:right="0" w:hanging="6" w:hangingChars="2"/>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分）</w:t>
            </w:r>
          </w:p>
        </w:tc>
        <w:tc>
          <w:tcPr>
            <w:tcW w:w="971" w:type="pct"/>
            <w:vAlign w:val="center"/>
          </w:tcPr>
          <w:p w14:paraId="1AF4C68E">
            <w:pPr>
              <w:keepNext w:val="0"/>
              <w:keepLines w:val="0"/>
              <w:pageBreakBefore w:val="0"/>
              <w:widowControl w:val="0"/>
              <w:kinsoku/>
              <w:wordWrap/>
              <w:overflowPunct/>
              <w:topLinePunct w:val="0"/>
              <w:bidi w:val="0"/>
              <w:ind w:left="0" w:leftChars="0" w:right="0"/>
              <w:jc w:val="center"/>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投标价格</w:t>
            </w:r>
          </w:p>
          <w:p w14:paraId="1743CCED">
            <w:pPr>
              <w:keepNext w:val="0"/>
              <w:keepLines w:val="0"/>
              <w:pageBreakBefore w:val="0"/>
              <w:widowControl w:val="0"/>
              <w:kinsoku/>
              <w:wordWrap/>
              <w:overflowPunct/>
              <w:topLinePunct w:val="0"/>
              <w:bidi w:val="0"/>
              <w:ind w:left="0" w:leftChars="0" w:right="0"/>
              <w:jc w:val="center"/>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20</w:t>
            </w:r>
            <w:r>
              <w:rPr>
                <w:rFonts w:hint="eastAsia" w:ascii="宋体" w:hAnsi="宋体" w:eastAsia="宋体" w:cs="仿宋_GB2312"/>
                <w:color w:val="auto"/>
                <w:sz w:val="30"/>
                <w:szCs w:val="30"/>
                <w:highlight w:val="none"/>
              </w:rPr>
              <w:t>分）</w:t>
            </w:r>
          </w:p>
        </w:tc>
        <w:tc>
          <w:tcPr>
            <w:tcW w:w="3333" w:type="pct"/>
            <w:vAlign w:val="center"/>
          </w:tcPr>
          <w:p w14:paraId="4D9801CE">
            <w:pPr>
              <w:keepNext w:val="0"/>
              <w:keepLines w:val="0"/>
              <w:pageBreakBefore w:val="0"/>
              <w:widowControl w:val="0"/>
              <w:kinsoku/>
              <w:wordWrap/>
              <w:overflowPunct/>
              <w:topLinePunct w:val="0"/>
              <w:autoSpaceDE w:val="0"/>
              <w:autoSpaceDN w:val="0"/>
              <w:bidi w:val="0"/>
              <w:adjustRightInd w:val="0"/>
              <w:ind w:left="0" w:leftChars="0" w:right="0"/>
              <w:jc w:val="left"/>
              <w:rPr>
                <w:rFonts w:ascii="宋体" w:eastAsia="宋体" w:cs="宋体"/>
                <w:color w:val="auto"/>
                <w:kern w:val="0"/>
                <w:sz w:val="30"/>
                <w:szCs w:val="30"/>
                <w:highlight w:val="none"/>
              </w:rPr>
            </w:pPr>
            <w:r>
              <w:rPr>
                <w:rFonts w:hint="eastAsia" w:ascii="宋体" w:eastAsia="宋体" w:cs="宋体"/>
                <w:color w:val="auto"/>
                <w:kern w:val="0"/>
                <w:sz w:val="30"/>
                <w:szCs w:val="30"/>
                <w:highlight w:val="none"/>
              </w:rPr>
              <w:t>满足</w:t>
            </w:r>
            <w:r>
              <w:rPr>
                <w:rFonts w:hint="eastAsia" w:ascii="宋体" w:eastAsia="宋体" w:cs="宋体"/>
                <w:color w:val="auto"/>
                <w:kern w:val="0"/>
                <w:sz w:val="30"/>
                <w:szCs w:val="30"/>
                <w:highlight w:val="none"/>
                <w:lang w:val="en-US" w:eastAsia="zh-CN"/>
              </w:rPr>
              <w:t>比选</w:t>
            </w:r>
            <w:r>
              <w:rPr>
                <w:rFonts w:hint="eastAsia" w:ascii="宋体" w:eastAsia="宋体" w:cs="宋体"/>
                <w:color w:val="auto"/>
                <w:kern w:val="0"/>
                <w:sz w:val="30"/>
                <w:szCs w:val="30"/>
                <w:highlight w:val="none"/>
              </w:rPr>
              <w:t>文件要求且最后报价最低的响应报价为评标基准价，其价格分为满分。其他合格供应商的价格分统一按照下列公式计算：</w:t>
            </w:r>
          </w:p>
          <w:p w14:paraId="37EC1178">
            <w:pPr>
              <w:pStyle w:val="19"/>
              <w:keepNext w:val="0"/>
              <w:keepLines w:val="0"/>
              <w:pageBreakBefore w:val="0"/>
              <w:widowControl w:val="0"/>
              <w:numPr>
                <w:ilvl w:val="0"/>
                <w:numId w:val="0"/>
              </w:numPr>
              <w:kinsoku/>
              <w:wordWrap/>
              <w:overflowPunct/>
              <w:topLinePunct w:val="0"/>
              <w:bidi w:val="0"/>
              <w:ind w:left="0" w:leftChars="0" w:right="0"/>
              <w:rPr>
                <w:rFonts w:cs="仿宋_GB2312" w:asciiTheme="minorEastAsia" w:hAnsiTheme="minorEastAsia" w:eastAsiaTheme="minorEastAsia"/>
                <w:color w:val="auto"/>
                <w:kern w:val="2"/>
                <w:sz w:val="30"/>
                <w:szCs w:val="30"/>
                <w:highlight w:val="none"/>
                <w:lang w:val="zh-CN"/>
              </w:rPr>
            </w:pPr>
            <w:r>
              <w:rPr>
                <w:rFonts w:hint="eastAsia" w:cs="宋体"/>
                <w:color w:val="auto"/>
                <w:sz w:val="30"/>
                <w:szCs w:val="30"/>
                <w:highlight w:val="none"/>
                <w:lang w:val="en-US" w:eastAsia="zh-CN"/>
              </w:rPr>
              <w:t>投标</w:t>
            </w:r>
            <w:r>
              <w:rPr>
                <w:rFonts w:hint="eastAsia" w:cs="宋体"/>
                <w:color w:val="auto"/>
                <w:sz w:val="30"/>
                <w:szCs w:val="30"/>
                <w:highlight w:val="none"/>
              </w:rPr>
              <w:t>报价得分</w:t>
            </w:r>
            <w:r>
              <w:rPr>
                <w:rFonts w:cs="宋体"/>
                <w:color w:val="auto"/>
                <w:sz w:val="30"/>
                <w:szCs w:val="30"/>
                <w:highlight w:val="none"/>
              </w:rPr>
              <w:t>=</w:t>
            </w:r>
            <w:r>
              <w:rPr>
                <w:rFonts w:hint="eastAsia" w:cs="宋体"/>
                <w:color w:val="auto"/>
                <w:sz w:val="30"/>
                <w:szCs w:val="30"/>
                <w:highlight w:val="none"/>
              </w:rPr>
              <w:t>（评标基准价</w:t>
            </w:r>
            <w:r>
              <w:rPr>
                <w:rFonts w:cs="宋体"/>
                <w:color w:val="auto"/>
                <w:sz w:val="30"/>
                <w:szCs w:val="30"/>
                <w:highlight w:val="none"/>
              </w:rPr>
              <w:t>/</w:t>
            </w:r>
            <w:r>
              <w:rPr>
                <w:rFonts w:hint="eastAsia" w:cs="宋体"/>
                <w:color w:val="auto"/>
                <w:sz w:val="30"/>
                <w:szCs w:val="30"/>
                <w:highlight w:val="none"/>
                <w:lang w:val="en-US" w:eastAsia="zh-CN"/>
              </w:rPr>
              <w:t>投标</w:t>
            </w:r>
            <w:r>
              <w:rPr>
                <w:rFonts w:hint="eastAsia" w:cs="宋体"/>
                <w:color w:val="auto"/>
                <w:sz w:val="30"/>
                <w:szCs w:val="30"/>
                <w:highlight w:val="none"/>
              </w:rPr>
              <w:t>报价）×</w:t>
            </w:r>
            <w:r>
              <w:rPr>
                <w:rFonts w:hint="eastAsia" w:cs="宋体"/>
                <w:color w:val="auto"/>
                <w:sz w:val="30"/>
                <w:szCs w:val="30"/>
                <w:highlight w:val="none"/>
                <w:lang w:val="en-US" w:eastAsia="zh-CN"/>
              </w:rPr>
              <w:t>20</w:t>
            </w:r>
          </w:p>
        </w:tc>
      </w:tr>
      <w:tr w14:paraId="75CB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restart"/>
            <w:vAlign w:val="center"/>
          </w:tcPr>
          <w:p w14:paraId="04D58AA2">
            <w:pPr>
              <w:keepNext w:val="0"/>
              <w:keepLines w:val="0"/>
              <w:pageBreakBefore w:val="0"/>
              <w:widowControl w:val="0"/>
              <w:kinsoku/>
              <w:wordWrap/>
              <w:overflowPunct/>
              <w:topLinePunct w:val="0"/>
              <w:bidi w:val="0"/>
              <w:snapToGrid w:val="0"/>
              <w:ind w:left="0" w:leftChars="0" w:right="0" w:firstLine="0" w:firstLineChars="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商务部分</w:t>
            </w:r>
          </w:p>
          <w:p w14:paraId="4ADBDF13">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color w:val="auto"/>
                <w:sz w:val="30"/>
                <w:szCs w:val="30"/>
                <w:highlight w:val="none"/>
                <w:lang w:val="zh-CN"/>
              </w:rPr>
              <w:t>（</w:t>
            </w:r>
            <w:r>
              <w:rPr>
                <w:rFonts w:hint="eastAsia" w:cs="仿宋_GB2312" w:asciiTheme="minorEastAsia" w:hAnsiTheme="minorEastAsia"/>
                <w:color w:val="auto"/>
                <w:sz w:val="30"/>
                <w:szCs w:val="30"/>
                <w:highlight w:val="none"/>
                <w:lang w:val="en-US" w:eastAsia="zh-CN"/>
              </w:rPr>
              <w:t>35</w:t>
            </w:r>
            <w:r>
              <w:rPr>
                <w:rFonts w:hint="eastAsia" w:cs="仿宋_GB2312" w:asciiTheme="minorEastAsia" w:hAnsiTheme="minorEastAsia"/>
                <w:color w:val="auto"/>
                <w:sz w:val="30"/>
                <w:szCs w:val="30"/>
                <w:highlight w:val="none"/>
                <w:lang w:val="zh-CN"/>
              </w:rPr>
              <w:t>分）</w:t>
            </w:r>
          </w:p>
        </w:tc>
        <w:tc>
          <w:tcPr>
            <w:tcW w:w="971" w:type="pct"/>
            <w:vAlign w:val="center"/>
          </w:tcPr>
          <w:p w14:paraId="63D0FBE1">
            <w:pPr>
              <w:keepNext w:val="0"/>
              <w:keepLines w:val="0"/>
              <w:pageBreakBefore w:val="0"/>
              <w:widowControl w:val="0"/>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rPr>
            </w:pPr>
            <w:r>
              <w:rPr>
                <w:rFonts w:hint="eastAsia" w:ascii="宋体" w:hAnsi="宋体" w:eastAsia="宋体" w:cs="仿宋_GB2312"/>
                <w:color w:val="auto"/>
                <w:sz w:val="30"/>
                <w:szCs w:val="30"/>
                <w:highlight w:val="none"/>
              </w:rPr>
              <w:t>偿付能力充足率（</w:t>
            </w:r>
            <w:r>
              <w:rPr>
                <w:rFonts w:hint="eastAsia" w:ascii="宋体" w:hAnsi="宋体" w:eastAsia="宋体" w:cs="仿宋_GB2312"/>
                <w:color w:val="auto"/>
                <w:sz w:val="30"/>
                <w:szCs w:val="30"/>
                <w:highlight w:val="none"/>
                <w:lang w:val="en-US" w:eastAsia="zh-CN"/>
              </w:rPr>
              <w:t>20</w:t>
            </w:r>
            <w:r>
              <w:rPr>
                <w:rFonts w:hint="eastAsia" w:ascii="宋体" w:hAnsi="宋体" w:eastAsia="宋体" w:cs="仿宋_GB2312"/>
                <w:color w:val="auto"/>
                <w:sz w:val="30"/>
                <w:szCs w:val="30"/>
                <w:highlight w:val="none"/>
              </w:rPr>
              <w:t>分）</w:t>
            </w:r>
          </w:p>
        </w:tc>
        <w:tc>
          <w:tcPr>
            <w:tcW w:w="3333" w:type="pct"/>
            <w:vAlign w:val="center"/>
          </w:tcPr>
          <w:p w14:paraId="16A2B307">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202</w:t>
            </w:r>
            <w:r>
              <w:rPr>
                <w:rFonts w:hint="eastAsia" w:cs="仿宋_GB2312" w:asciiTheme="minorEastAsia" w:hAnsiTheme="minorEastAsia"/>
                <w:color w:val="auto"/>
                <w:sz w:val="30"/>
                <w:szCs w:val="30"/>
                <w:highlight w:val="none"/>
                <w:lang w:val="en-US" w:eastAsia="zh-CN"/>
              </w:rPr>
              <w:t>4</w:t>
            </w:r>
            <w:r>
              <w:rPr>
                <w:rFonts w:hint="eastAsia" w:cs="仿宋_GB2312" w:asciiTheme="minorEastAsia" w:hAnsiTheme="minorEastAsia"/>
                <w:color w:val="auto"/>
                <w:sz w:val="30"/>
                <w:szCs w:val="30"/>
                <w:highlight w:val="none"/>
                <w:lang w:val="zh-CN"/>
              </w:rPr>
              <w:t>年</w:t>
            </w:r>
            <w:r>
              <w:rPr>
                <w:rFonts w:hint="eastAsia" w:cs="仿宋_GB2312" w:asciiTheme="minorEastAsia" w:hAnsiTheme="minorEastAsia"/>
                <w:color w:val="auto"/>
                <w:sz w:val="30"/>
                <w:szCs w:val="30"/>
                <w:highlight w:val="none"/>
                <w:lang w:val="en-US" w:eastAsia="zh-CN"/>
              </w:rPr>
              <w:t>度</w:t>
            </w:r>
            <w:r>
              <w:rPr>
                <w:rFonts w:hint="eastAsia" w:cs="仿宋_GB2312" w:asciiTheme="minorEastAsia" w:hAnsiTheme="minorEastAsia"/>
                <w:color w:val="auto"/>
                <w:sz w:val="30"/>
                <w:szCs w:val="30"/>
                <w:highlight w:val="none"/>
                <w:lang w:val="zh-CN"/>
              </w:rPr>
              <w:t>投标人所属法人企业综合偿付能力充足率不足</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0%</w:t>
            </w:r>
            <w:r>
              <w:rPr>
                <w:rFonts w:hint="eastAsia" w:cs="仿宋_GB2312" w:asciiTheme="minorEastAsia" w:hAnsiTheme="minorEastAsia"/>
                <w:color w:val="auto"/>
                <w:sz w:val="30"/>
                <w:szCs w:val="30"/>
                <w:highlight w:val="none"/>
                <w:lang w:val="zh-CN" w:eastAsia="zh-CN"/>
              </w:rPr>
              <w:t>不得分</w:t>
            </w:r>
            <w:r>
              <w:rPr>
                <w:rFonts w:hint="eastAsia" w:cs="仿宋_GB2312" w:asciiTheme="minorEastAsia" w:hAnsiTheme="minorEastAsia"/>
                <w:color w:val="auto"/>
                <w:sz w:val="30"/>
                <w:szCs w:val="30"/>
                <w:highlight w:val="none"/>
                <w:lang w:val="zh-CN"/>
              </w:rPr>
              <w:t>，</w:t>
            </w:r>
          </w:p>
          <w:p w14:paraId="08DF5BC8">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偿付能力充足率在</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 xml:space="preserve">0%（含）到 </w:t>
            </w:r>
            <w:r>
              <w:rPr>
                <w:rFonts w:hint="eastAsia" w:cs="仿宋_GB2312" w:asciiTheme="minorEastAsia" w:hAnsiTheme="minorEastAsia"/>
                <w:color w:val="auto"/>
                <w:sz w:val="30"/>
                <w:szCs w:val="30"/>
                <w:highlight w:val="none"/>
                <w:lang w:val="en-US" w:eastAsia="zh-CN"/>
              </w:rPr>
              <w:t>210</w:t>
            </w:r>
            <w:r>
              <w:rPr>
                <w:rFonts w:hint="eastAsia" w:cs="仿宋_GB2312" w:asciiTheme="minorEastAsia" w:hAnsiTheme="minorEastAsia"/>
                <w:color w:val="auto"/>
                <w:sz w:val="30"/>
                <w:szCs w:val="30"/>
                <w:highlight w:val="none"/>
                <w:lang w:val="zh-CN"/>
              </w:rPr>
              <w:t>%（不含）之间的，得</w:t>
            </w:r>
            <w:r>
              <w:rPr>
                <w:rFonts w:hint="eastAsia" w:cs="仿宋_GB2312" w:asciiTheme="minorEastAsia" w:hAnsiTheme="minorEastAsia"/>
                <w:color w:val="auto"/>
                <w:sz w:val="30"/>
                <w:szCs w:val="30"/>
                <w:highlight w:val="none"/>
                <w:lang w:val="en-US" w:eastAsia="zh-CN"/>
              </w:rPr>
              <w:t>10</w:t>
            </w:r>
            <w:r>
              <w:rPr>
                <w:rFonts w:hint="eastAsia" w:cs="仿宋_GB2312" w:asciiTheme="minorEastAsia" w:hAnsiTheme="minorEastAsia"/>
                <w:color w:val="auto"/>
                <w:sz w:val="30"/>
                <w:szCs w:val="30"/>
                <w:highlight w:val="none"/>
                <w:lang w:val="zh-CN"/>
              </w:rPr>
              <w:t>分；</w:t>
            </w:r>
          </w:p>
          <w:p w14:paraId="0C0020C2">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偿付能力充足率在2</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%以上的，得</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分。</w:t>
            </w:r>
          </w:p>
          <w:p w14:paraId="2A06E59C">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ascii="宋体" w:hAnsi="宋体" w:eastAsia="宋体" w:cs="宋体"/>
                <w:color w:val="auto"/>
                <w:sz w:val="30"/>
                <w:szCs w:val="30"/>
                <w:highlight w:val="none"/>
              </w:rPr>
            </w:pPr>
            <w:r>
              <w:rPr>
                <w:rFonts w:hint="eastAsia" w:cs="仿宋_GB2312" w:asciiTheme="minorEastAsia" w:hAnsiTheme="minorEastAsia"/>
                <w:color w:val="auto"/>
                <w:sz w:val="30"/>
                <w:szCs w:val="30"/>
                <w:highlight w:val="none"/>
                <w:lang w:val="zh-CN"/>
              </w:rPr>
              <w:t>注：（</w:t>
            </w:r>
            <w:r>
              <w:rPr>
                <w:rFonts w:hint="eastAsia" w:cs="仿宋_GB2312" w:asciiTheme="minorEastAsia" w:hAnsiTheme="minorEastAsia"/>
                <w:color w:val="auto"/>
                <w:sz w:val="30"/>
                <w:szCs w:val="30"/>
                <w:highlight w:val="none"/>
                <w:lang w:val="en-US" w:eastAsia="zh-CN"/>
              </w:rPr>
              <w:t>供应商是支</w:t>
            </w:r>
            <w:r>
              <w:rPr>
                <w:rFonts w:hint="eastAsia" w:cs="仿宋_GB2312" w:asciiTheme="minorEastAsia" w:hAnsiTheme="minorEastAsia"/>
                <w:color w:val="auto"/>
                <w:sz w:val="30"/>
                <w:szCs w:val="30"/>
                <w:highlight w:val="none"/>
                <w:lang w:val="zh-CN"/>
              </w:rPr>
              <w:t>公司的，</w:t>
            </w:r>
            <w:r>
              <w:rPr>
                <w:rFonts w:hint="eastAsia" w:cs="仿宋_GB2312" w:asciiTheme="minorEastAsia" w:hAnsiTheme="minorEastAsia"/>
                <w:color w:val="auto"/>
                <w:sz w:val="30"/>
                <w:szCs w:val="30"/>
                <w:highlight w:val="none"/>
                <w:lang w:val="en-US" w:eastAsia="zh-CN"/>
              </w:rPr>
              <w:t>应</w:t>
            </w:r>
            <w:r>
              <w:rPr>
                <w:rFonts w:hint="eastAsia" w:cs="仿宋_GB2312" w:asciiTheme="minorEastAsia" w:hAnsiTheme="minorEastAsia"/>
                <w:color w:val="auto"/>
                <w:sz w:val="30"/>
                <w:szCs w:val="30"/>
                <w:highlight w:val="none"/>
                <w:lang w:val="zh-CN"/>
              </w:rPr>
              <w:t>提供总公司相关证明资料并加盖供应商公章，不提供或未按要求提供不得分）</w:t>
            </w:r>
          </w:p>
        </w:tc>
      </w:tr>
      <w:tr w14:paraId="3828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continue"/>
            <w:vAlign w:val="center"/>
          </w:tcPr>
          <w:p w14:paraId="277B6CD2">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p>
        </w:tc>
        <w:tc>
          <w:tcPr>
            <w:tcW w:w="971" w:type="pct"/>
            <w:vAlign w:val="center"/>
          </w:tcPr>
          <w:p w14:paraId="56267974">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人员配备</w:t>
            </w:r>
          </w:p>
          <w:p w14:paraId="03EAEF42">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10</w:t>
            </w:r>
            <w:r>
              <w:rPr>
                <w:rFonts w:hint="eastAsia" w:ascii="宋体" w:hAnsi="宋体" w:eastAsia="宋体" w:cs="仿宋_GB2312"/>
                <w:color w:val="auto"/>
                <w:sz w:val="30"/>
                <w:szCs w:val="30"/>
                <w:highlight w:val="none"/>
              </w:rPr>
              <w:t>分）</w:t>
            </w:r>
          </w:p>
        </w:tc>
        <w:tc>
          <w:tcPr>
            <w:tcW w:w="3333" w:type="pct"/>
            <w:vAlign w:val="center"/>
          </w:tcPr>
          <w:p w14:paraId="07C7F8FB">
            <w:pPr>
              <w:keepNext w:val="0"/>
              <w:keepLines w:val="0"/>
              <w:pageBreakBefore w:val="0"/>
              <w:widowControl w:val="0"/>
              <w:kinsoku/>
              <w:wordWrap/>
              <w:overflowPunct/>
              <w:topLinePunct w:val="0"/>
              <w:bidi w:val="0"/>
              <w:ind w:left="0" w:leftChars="0" w:right="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供应商应成立专门的项目服务小组，具体负责</w:t>
            </w:r>
            <w:r>
              <w:rPr>
                <w:rFonts w:hint="eastAsia" w:ascii="宋体" w:hAnsi="宋体" w:eastAsia="宋体" w:cs="宋体"/>
                <w:color w:val="auto"/>
                <w:sz w:val="30"/>
                <w:szCs w:val="30"/>
                <w:highlight w:val="none"/>
                <w:lang w:eastAsia="zh-CN"/>
              </w:rPr>
              <w:t>本</w:t>
            </w:r>
            <w:r>
              <w:rPr>
                <w:rFonts w:hint="eastAsia" w:ascii="宋体" w:hAnsi="宋体" w:eastAsia="宋体" w:cs="宋体"/>
                <w:color w:val="auto"/>
                <w:sz w:val="30"/>
                <w:szCs w:val="30"/>
                <w:highlight w:val="none"/>
              </w:rPr>
              <w:t>项目的保险工作，全面紧密的与采购人合作；供应商应根据采购人的要求，提供责任范围广泛和具有竞争力的承保条件；每提供一名服务小组成员得</w:t>
            </w:r>
            <w:r>
              <w:rPr>
                <w:rFonts w:hint="eastAsia" w:ascii="宋体" w:hAnsi="宋体" w:eastAsia="宋体" w:cs="宋体"/>
                <w:color w:val="auto"/>
                <w:sz w:val="30"/>
                <w:szCs w:val="30"/>
                <w:highlight w:val="none"/>
                <w:lang w:val="en-US" w:eastAsia="zh-CN"/>
              </w:rPr>
              <w:t>2.5</w:t>
            </w:r>
            <w:r>
              <w:rPr>
                <w:rFonts w:hint="eastAsia" w:ascii="宋体" w:hAnsi="宋体" w:eastAsia="宋体" w:cs="宋体"/>
                <w:color w:val="auto"/>
                <w:sz w:val="30"/>
                <w:szCs w:val="30"/>
                <w:highlight w:val="none"/>
              </w:rPr>
              <w:t>分，最高得</w:t>
            </w:r>
            <w:r>
              <w:rPr>
                <w:rFonts w:hint="eastAsia" w:ascii="宋体" w:hAnsi="宋体" w:eastAsia="宋体" w:cs="宋体"/>
                <w:color w:val="auto"/>
                <w:sz w:val="30"/>
                <w:szCs w:val="30"/>
                <w:highlight w:val="none"/>
                <w:lang w:val="en-US" w:eastAsia="zh-CN"/>
              </w:rPr>
              <w:t>10</w:t>
            </w:r>
            <w:r>
              <w:rPr>
                <w:rFonts w:hint="eastAsia" w:ascii="宋体" w:hAnsi="宋体" w:eastAsia="宋体" w:cs="宋体"/>
                <w:color w:val="auto"/>
                <w:sz w:val="30"/>
                <w:szCs w:val="30"/>
                <w:highlight w:val="none"/>
              </w:rPr>
              <w:t xml:space="preserve"> 分。（服务小组</w:t>
            </w:r>
            <w:r>
              <w:rPr>
                <w:rFonts w:hint="eastAsia" w:ascii="宋体" w:hAnsi="宋体" w:eastAsia="宋体" w:cs="宋体"/>
                <w:color w:val="auto"/>
                <w:sz w:val="30"/>
                <w:szCs w:val="30"/>
                <w:highlight w:val="none"/>
                <w:lang w:eastAsia="zh-CN"/>
              </w:rPr>
              <w:t>成</w:t>
            </w:r>
            <w:r>
              <w:rPr>
                <w:rFonts w:hint="eastAsia" w:ascii="宋体" w:hAnsi="宋体" w:eastAsia="宋体" w:cs="宋体"/>
                <w:color w:val="auto"/>
                <w:sz w:val="30"/>
                <w:szCs w:val="30"/>
                <w:highlight w:val="none"/>
              </w:rPr>
              <w:t>员需为本单位员工，</w:t>
            </w:r>
            <w:r>
              <w:rPr>
                <w:rFonts w:hint="eastAsia" w:ascii="宋体" w:hAnsi="宋体" w:eastAsia="宋体" w:cs="宋体"/>
                <w:color w:val="auto"/>
                <w:sz w:val="30"/>
                <w:szCs w:val="30"/>
                <w:highlight w:val="none"/>
                <w:lang w:eastAsia="zh-CN"/>
              </w:rPr>
              <w:t>响应</w:t>
            </w:r>
            <w:r>
              <w:rPr>
                <w:rFonts w:hint="eastAsia" w:ascii="宋体" w:hAnsi="宋体" w:eastAsia="宋体" w:cs="宋体"/>
                <w:color w:val="auto"/>
                <w:sz w:val="30"/>
                <w:szCs w:val="30"/>
                <w:highlight w:val="none"/>
              </w:rPr>
              <w:t>文件中提供劳</w:t>
            </w:r>
            <w:r>
              <w:rPr>
                <w:rFonts w:hint="eastAsia" w:ascii="宋体" w:hAnsi="宋体" w:eastAsia="宋体" w:cs="宋体"/>
                <w:color w:val="auto"/>
                <w:sz w:val="30"/>
                <w:szCs w:val="30"/>
                <w:highlight w:val="none"/>
                <w:lang w:val="en-US" w:eastAsia="zh-CN"/>
              </w:rPr>
              <w:t>动</w:t>
            </w:r>
            <w:r>
              <w:rPr>
                <w:rFonts w:hint="eastAsia" w:ascii="宋体" w:hAnsi="宋体" w:eastAsia="宋体" w:cs="宋体"/>
                <w:color w:val="auto"/>
                <w:sz w:val="30"/>
                <w:szCs w:val="30"/>
                <w:highlight w:val="none"/>
              </w:rPr>
              <w:t>合同的证明材料，缺项或未提供不得分）</w:t>
            </w:r>
          </w:p>
        </w:tc>
      </w:tr>
      <w:tr w14:paraId="585A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continue"/>
            <w:vAlign w:val="center"/>
          </w:tcPr>
          <w:p w14:paraId="30E6A32D">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p>
        </w:tc>
        <w:tc>
          <w:tcPr>
            <w:tcW w:w="971" w:type="pct"/>
            <w:vAlign w:val="center"/>
          </w:tcPr>
          <w:p w14:paraId="410A801B">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车险网点</w:t>
            </w:r>
          </w:p>
          <w:p w14:paraId="5EB36C1C">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5</w:t>
            </w:r>
            <w:r>
              <w:rPr>
                <w:rFonts w:hint="eastAsia" w:ascii="宋体" w:hAnsi="宋体" w:eastAsia="宋体" w:cs="仿宋_GB2312"/>
                <w:color w:val="auto"/>
                <w:sz w:val="30"/>
                <w:szCs w:val="30"/>
                <w:highlight w:val="none"/>
              </w:rPr>
              <w:t>分）</w:t>
            </w:r>
          </w:p>
        </w:tc>
        <w:tc>
          <w:tcPr>
            <w:tcW w:w="3333" w:type="pct"/>
            <w:vAlign w:val="center"/>
          </w:tcPr>
          <w:p w14:paraId="19381AF5">
            <w:pPr>
              <w:keepNext w:val="0"/>
              <w:keepLines w:val="0"/>
              <w:pageBreakBefore w:val="0"/>
              <w:widowControl w:val="0"/>
              <w:kinsoku/>
              <w:wordWrap/>
              <w:overflowPunct/>
              <w:topLinePunct w:val="0"/>
              <w:bidi w:val="0"/>
              <w:ind w:left="0" w:leftChars="0" w:right="0"/>
              <w:jc w:val="left"/>
              <w:rPr>
                <w:rFonts w:hint="eastAsia" w:eastAsia="宋体" w:cs="仿宋_GB2312" w:asciiTheme="minorEastAsia" w:hAnsiTheme="minorEastAsia"/>
                <w:color w:val="auto"/>
                <w:sz w:val="30"/>
                <w:szCs w:val="30"/>
                <w:highlight w:val="none"/>
                <w:lang w:eastAsia="zh-CN"/>
              </w:rPr>
            </w:pPr>
            <w:r>
              <w:rPr>
                <w:rFonts w:hint="eastAsia" w:cs="仿宋_GB2312" w:asciiTheme="minorEastAsia" w:hAnsiTheme="minorEastAsia"/>
                <w:color w:val="auto"/>
                <w:sz w:val="30"/>
                <w:szCs w:val="30"/>
                <w:highlight w:val="none"/>
              </w:rPr>
              <w:t>供应商车险网点覆盖</w:t>
            </w:r>
            <w:r>
              <w:rPr>
                <w:rFonts w:hint="eastAsia" w:cs="仿宋_GB2312" w:asciiTheme="minorEastAsia" w:hAnsiTheme="minorEastAsia"/>
                <w:color w:val="auto"/>
                <w:sz w:val="30"/>
                <w:szCs w:val="30"/>
                <w:highlight w:val="none"/>
                <w:lang w:val="en-US" w:eastAsia="zh-CN"/>
              </w:rPr>
              <w:t>许昌市主城区（含魏都区）、建安区、禹州市、长葛市、襄城县、鄢陵县</w:t>
            </w:r>
            <w:r>
              <w:rPr>
                <w:rFonts w:hint="eastAsia" w:cs="仿宋_GB2312" w:asciiTheme="minorEastAsia" w:hAnsiTheme="minorEastAsia"/>
                <w:color w:val="auto"/>
                <w:sz w:val="30"/>
                <w:szCs w:val="30"/>
                <w:highlight w:val="none"/>
              </w:rPr>
              <w:t>的，得</w:t>
            </w:r>
            <w:r>
              <w:rPr>
                <w:rFonts w:hint="eastAsia" w:cs="仿宋_GB2312" w:asciiTheme="minorEastAsia" w:hAnsiTheme="minorEastAsia"/>
                <w:color w:val="auto"/>
                <w:sz w:val="30"/>
                <w:szCs w:val="30"/>
                <w:highlight w:val="none"/>
                <w:lang w:val="en-US" w:eastAsia="zh-CN"/>
              </w:rPr>
              <w:t>5</w:t>
            </w:r>
            <w:r>
              <w:rPr>
                <w:rFonts w:hint="eastAsia" w:cs="仿宋_GB2312" w:asciiTheme="minorEastAsia" w:hAnsiTheme="minorEastAsia"/>
                <w:color w:val="auto"/>
                <w:sz w:val="30"/>
                <w:szCs w:val="30"/>
                <w:highlight w:val="none"/>
              </w:rPr>
              <w:t>分</w:t>
            </w:r>
            <w:r>
              <w:rPr>
                <w:rFonts w:hint="eastAsia" w:cs="仿宋_GB2312" w:asciiTheme="minorEastAsia" w:hAnsiTheme="minorEastAsia"/>
                <w:color w:val="auto"/>
                <w:sz w:val="30"/>
                <w:szCs w:val="30"/>
                <w:highlight w:val="none"/>
                <w:lang w:eastAsia="zh-CN"/>
              </w:rPr>
              <w:t>。</w:t>
            </w:r>
          </w:p>
          <w:p w14:paraId="1D724B97">
            <w:pPr>
              <w:keepNext w:val="0"/>
              <w:keepLines w:val="0"/>
              <w:pageBreakBefore w:val="0"/>
              <w:widowControl w:val="0"/>
              <w:kinsoku/>
              <w:wordWrap/>
              <w:overflowPunct/>
              <w:topLinePunct w:val="0"/>
              <w:bidi w:val="0"/>
              <w:ind w:left="0" w:leftChars="0" w:right="0"/>
              <w:jc w:val="left"/>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注：供应商需提供相关证明材料，并加盖单位公章，不提供或未按要求提供不得分。</w:t>
            </w:r>
          </w:p>
        </w:tc>
      </w:tr>
      <w:tr w14:paraId="72F6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4" w:type="pct"/>
            <w:vMerge w:val="restart"/>
            <w:vAlign w:val="center"/>
          </w:tcPr>
          <w:p w14:paraId="110DDB7B">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rPr>
            </w:pPr>
            <w:r>
              <w:rPr>
                <w:rFonts w:hint="eastAsia" w:cs="仿宋_GB2312" w:asciiTheme="minorEastAsia" w:hAnsiTheme="minorEastAsia" w:eastAsiaTheme="minorEastAsia"/>
                <w:color w:val="auto"/>
                <w:kern w:val="2"/>
                <w:sz w:val="30"/>
                <w:szCs w:val="30"/>
                <w:highlight w:val="none"/>
              </w:rPr>
              <w:t>技术部分</w:t>
            </w:r>
          </w:p>
          <w:p w14:paraId="196E2440">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rPr>
            </w:pPr>
            <w:r>
              <w:rPr>
                <w:rFonts w:hint="eastAsia" w:cs="仿宋_GB2312" w:asciiTheme="minorEastAsia" w:hAnsiTheme="minorEastAsia" w:eastAsiaTheme="minorEastAsia"/>
                <w:color w:val="auto"/>
                <w:kern w:val="2"/>
                <w:sz w:val="30"/>
                <w:szCs w:val="30"/>
                <w:highlight w:val="none"/>
              </w:rPr>
              <w:t>（</w:t>
            </w:r>
            <w:r>
              <w:rPr>
                <w:rFonts w:hint="eastAsia" w:cs="仿宋_GB2312" w:asciiTheme="minorEastAsia" w:hAnsiTheme="minorEastAsia" w:eastAsiaTheme="minorEastAsia"/>
                <w:color w:val="auto"/>
                <w:kern w:val="2"/>
                <w:sz w:val="30"/>
                <w:szCs w:val="30"/>
                <w:highlight w:val="none"/>
                <w:lang w:val="en-US" w:eastAsia="zh-CN"/>
              </w:rPr>
              <w:t>45</w:t>
            </w:r>
            <w:r>
              <w:rPr>
                <w:rFonts w:hint="eastAsia" w:cs="仿宋_GB2312" w:asciiTheme="minorEastAsia" w:hAnsiTheme="minorEastAsia" w:eastAsiaTheme="minorEastAsia"/>
                <w:color w:val="auto"/>
                <w:kern w:val="2"/>
                <w:sz w:val="30"/>
                <w:szCs w:val="30"/>
                <w:highlight w:val="none"/>
              </w:rPr>
              <w:t>分）</w:t>
            </w:r>
          </w:p>
        </w:tc>
        <w:tc>
          <w:tcPr>
            <w:tcW w:w="971" w:type="pct"/>
            <w:vAlign w:val="center"/>
          </w:tcPr>
          <w:p w14:paraId="01C88908">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服务方案</w:t>
            </w:r>
          </w:p>
          <w:p w14:paraId="09B95107">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15</w:t>
            </w:r>
            <w:r>
              <w:rPr>
                <w:rFonts w:hint="eastAsia" w:ascii="宋体" w:hAnsi="宋体" w:eastAsia="宋体" w:cs="仿宋_GB2312"/>
                <w:color w:val="auto"/>
                <w:sz w:val="30"/>
                <w:szCs w:val="30"/>
                <w:highlight w:val="none"/>
              </w:rPr>
              <w:t>分）</w:t>
            </w:r>
          </w:p>
          <w:p w14:paraId="53BAA2F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30"/>
                <w:szCs w:val="30"/>
                <w:highlight w:val="none"/>
              </w:rPr>
            </w:pPr>
          </w:p>
        </w:tc>
        <w:tc>
          <w:tcPr>
            <w:tcW w:w="5821" w:type="dxa"/>
            <w:vAlign w:val="center"/>
          </w:tcPr>
          <w:p w14:paraId="2D57CB7B">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30"/>
                <w:szCs w:val="30"/>
                <w:highlight w:val="none"/>
              </w:rPr>
            </w:pPr>
            <w:r>
              <w:rPr>
                <w:rFonts w:hint="eastAsia" w:ascii="宋体" w:hAnsi="宋体" w:eastAsia="宋体" w:cs="宋体"/>
                <w:b w:val="0"/>
                <w:bCs/>
                <w:color w:val="auto"/>
                <w:sz w:val="30"/>
                <w:szCs w:val="30"/>
                <w:highlight w:val="none"/>
              </w:rPr>
              <w:t>针对本项目提供具体、完整、详细、明确的项目实施方案，包括但不限于：上门服务方案、接报案服务方案、限时赔付方案、预付赔款方案、人伤赔偿处理方案等，根据方案内容进行综合评审：方案内容科学具体，针对性强，得</w:t>
            </w:r>
            <w:r>
              <w:rPr>
                <w:rFonts w:hint="eastAsia" w:ascii="宋体" w:hAnsi="宋体" w:cs="宋体"/>
                <w:b w:val="0"/>
                <w:bCs/>
                <w:color w:val="auto"/>
                <w:sz w:val="30"/>
                <w:szCs w:val="30"/>
                <w:highlight w:val="none"/>
                <w:lang w:val="en-US" w:eastAsia="zh-CN"/>
              </w:rPr>
              <w:t>11-</w:t>
            </w:r>
            <w:r>
              <w:rPr>
                <w:rFonts w:hint="eastAsia" w:ascii="宋体" w:hAnsi="宋体" w:eastAsia="宋体" w:cs="宋体"/>
                <w:b w:val="0"/>
                <w:bCs/>
                <w:color w:val="auto"/>
                <w:sz w:val="30"/>
                <w:szCs w:val="30"/>
                <w:highlight w:val="none"/>
                <w:lang w:val="en-US" w:eastAsia="zh-CN"/>
              </w:rPr>
              <w:t>15</w:t>
            </w:r>
            <w:r>
              <w:rPr>
                <w:rFonts w:hint="eastAsia" w:ascii="宋体" w:hAnsi="宋体" w:eastAsia="宋体" w:cs="宋体"/>
                <w:b w:val="0"/>
                <w:bCs/>
                <w:color w:val="auto"/>
                <w:sz w:val="30"/>
                <w:szCs w:val="30"/>
                <w:highlight w:val="none"/>
              </w:rPr>
              <w:t>分；方案内容基本具体，部分具有针对性得</w:t>
            </w:r>
            <w:r>
              <w:rPr>
                <w:rFonts w:hint="eastAsia" w:ascii="宋体" w:hAnsi="宋体" w:cs="宋体"/>
                <w:b w:val="0"/>
                <w:bCs/>
                <w:color w:val="auto"/>
                <w:sz w:val="30"/>
                <w:szCs w:val="30"/>
                <w:highlight w:val="none"/>
                <w:lang w:val="en-US" w:eastAsia="zh-CN"/>
              </w:rPr>
              <w:t>6-</w:t>
            </w:r>
            <w:r>
              <w:rPr>
                <w:rFonts w:hint="eastAsia" w:ascii="宋体" w:hAnsi="宋体" w:eastAsia="宋体" w:cs="宋体"/>
                <w:color w:val="auto"/>
                <w:kern w:val="2"/>
                <w:sz w:val="30"/>
                <w:szCs w:val="30"/>
                <w:highlight w:val="none"/>
                <w:lang w:val="en-US" w:eastAsia="zh-CN" w:bidi="ar-SA"/>
              </w:rPr>
              <w:t>10</w:t>
            </w:r>
            <w:r>
              <w:rPr>
                <w:rFonts w:hint="eastAsia" w:ascii="宋体" w:hAnsi="宋体" w:eastAsia="宋体" w:cs="宋体"/>
                <w:b w:val="0"/>
                <w:bCs/>
                <w:color w:val="auto"/>
                <w:sz w:val="30"/>
                <w:szCs w:val="30"/>
                <w:highlight w:val="none"/>
              </w:rPr>
              <w:t>分；方案内容不够具体，针对性有待考究，得</w:t>
            </w:r>
            <w:r>
              <w:rPr>
                <w:rFonts w:hint="eastAsia" w:ascii="宋体" w:hAnsi="宋体" w:cs="宋体"/>
                <w:b w:val="0"/>
                <w:bCs/>
                <w:color w:val="auto"/>
                <w:sz w:val="30"/>
                <w:szCs w:val="30"/>
                <w:highlight w:val="none"/>
                <w:lang w:val="en-US" w:eastAsia="zh-CN"/>
              </w:rPr>
              <w:t>1-</w:t>
            </w:r>
            <w:r>
              <w:rPr>
                <w:rFonts w:hint="eastAsia" w:ascii="宋体" w:hAnsi="宋体" w:eastAsia="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rPr>
              <w:t>分；不提供得0分。</w:t>
            </w:r>
          </w:p>
        </w:tc>
      </w:tr>
      <w:tr w14:paraId="23AF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94" w:type="pct"/>
            <w:vMerge w:val="continue"/>
            <w:vAlign w:val="center"/>
          </w:tcPr>
          <w:p w14:paraId="629DE9B1">
            <w:pPr>
              <w:pStyle w:val="19"/>
              <w:keepNext w:val="0"/>
              <w:keepLines w:val="0"/>
              <w:pageBreakBefore w:val="0"/>
              <w:widowControl w:val="0"/>
              <w:numPr>
                <w:ilvl w:val="0"/>
                <w:numId w:val="0"/>
              </w:numPr>
              <w:kinsoku/>
              <w:wordWrap/>
              <w:overflowPunct/>
              <w:topLinePunct w:val="0"/>
              <w:bidi w:val="0"/>
              <w:ind w:left="0" w:leftChars="0" w:right="0" w:hanging="709"/>
              <w:jc w:val="center"/>
              <w:rPr>
                <w:rFonts w:cs="仿宋_GB2312" w:asciiTheme="minorEastAsia" w:hAnsiTheme="minorEastAsia" w:eastAsiaTheme="minorEastAsia"/>
                <w:color w:val="auto"/>
                <w:kern w:val="2"/>
                <w:sz w:val="30"/>
                <w:szCs w:val="30"/>
                <w:highlight w:val="none"/>
              </w:rPr>
            </w:pPr>
          </w:p>
        </w:tc>
        <w:tc>
          <w:tcPr>
            <w:tcW w:w="971" w:type="pct"/>
            <w:vAlign w:val="center"/>
          </w:tcPr>
          <w:p w14:paraId="33644C25">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kern w:val="2"/>
                <w:sz w:val="30"/>
                <w:szCs w:val="30"/>
                <w:highlight w:val="none"/>
                <w:lang w:val="zh-CN" w:eastAsia="zh-CN" w:bidi="ar-SA"/>
              </w:rPr>
            </w:pPr>
            <w:r>
              <w:rPr>
                <w:rFonts w:hint="eastAsia" w:ascii="宋体" w:hAnsi="宋体" w:eastAsia="宋体" w:cs="宋体"/>
                <w:color w:val="auto"/>
                <w:kern w:val="2"/>
                <w:sz w:val="30"/>
                <w:szCs w:val="30"/>
                <w:highlight w:val="none"/>
                <w:lang w:val="zh-CN" w:eastAsia="zh-CN" w:bidi="ar-SA"/>
              </w:rPr>
              <w:t>实施方案</w:t>
            </w:r>
          </w:p>
          <w:p w14:paraId="25214473">
            <w:pPr>
              <w:keepNext w:val="0"/>
              <w:keepLines w:val="0"/>
              <w:pageBreakBefore w:val="0"/>
              <w:widowControl w:val="0"/>
              <w:kinsoku/>
              <w:wordWrap/>
              <w:overflowPunct/>
              <w:topLinePunct w:val="0"/>
              <w:bidi w:val="0"/>
              <w:adjustRightInd/>
              <w:snapToGrid/>
              <w:spacing w:line="240" w:lineRule="auto"/>
              <w:ind w:firstLine="0" w:firstLineChars="0"/>
              <w:contextualSpacing/>
              <w:jc w:val="center"/>
              <w:textAlignment w:val="auto"/>
              <w:rPr>
                <w:rFonts w:hint="eastAsia" w:ascii="宋体" w:hAnsi="宋体" w:eastAsia="宋体" w:cs="宋体"/>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30</w:t>
            </w:r>
            <w:r>
              <w:rPr>
                <w:rFonts w:hint="eastAsia" w:ascii="宋体" w:hAnsi="宋体" w:eastAsia="宋体" w:cs="仿宋_GB2312"/>
                <w:color w:val="auto"/>
                <w:sz w:val="30"/>
                <w:szCs w:val="30"/>
                <w:highlight w:val="none"/>
              </w:rPr>
              <w:t>分）</w:t>
            </w:r>
          </w:p>
        </w:tc>
        <w:tc>
          <w:tcPr>
            <w:tcW w:w="5821" w:type="dxa"/>
            <w:vAlign w:val="center"/>
          </w:tcPr>
          <w:p w14:paraId="409477B2">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30"/>
                <w:szCs w:val="30"/>
                <w:highlight w:val="none"/>
              </w:rPr>
            </w:pPr>
            <w:r>
              <w:rPr>
                <w:rFonts w:hint="eastAsia" w:ascii="宋体" w:hAnsi="宋体" w:eastAsia="宋体" w:cs="宋体"/>
                <w:b w:val="0"/>
                <w:bCs/>
                <w:color w:val="auto"/>
                <w:sz w:val="30"/>
                <w:szCs w:val="30"/>
                <w:highlight w:val="none"/>
                <w:lang w:val="zh-CN" w:eastAsia="zh-CN"/>
              </w:rPr>
              <w:t>根据供应商提供的各项管理制度情况：包括但不限于：</w:t>
            </w:r>
            <w:r>
              <w:rPr>
                <w:rFonts w:hint="eastAsia" w:ascii="宋体" w:hAnsi="宋体" w:cs="宋体"/>
                <w:b w:val="0"/>
                <w:bCs/>
                <w:color w:val="auto"/>
                <w:sz w:val="30"/>
                <w:szCs w:val="30"/>
                <w:highlight w:val="none"/>
                <w:lang w:val="en-US" w:eastAsia="zh-CN"/>
              </w:rPr>
              <w:t>本次保单办理时间、</w:t>
            </w:r>
            <w:r>
              <w:rPr>
                <w:rFonts w:hint="eastAsia" w:ascii="宋体" w:hAnsi="宋体" w:eastAsia="宋体" w:cs="宋体"/>
                <w:b w:val="0"/>
                <w:bCs/>
                <w:color w:val="auto"/>
                <w:sz w:val="30"/>
                <w:szCs w:val="30"/>
                <w:highlight w:val="none"/>
                <w:lang w:val="zh-CN" w:eastAsia="zh-CN"/>
              </w:rPr>
              <w:t>保险理赔管理制度、人员管理制度、设备管理制度、用户投诉受理制度、档案管理、培训方案等，根据方案内容进行综合评审。方案内容科学具体，</w:t>
            </w:r>
            <w:r>
              <w:rPr>
                <w:rFonts w:hint="eastAsia" w:ascii="宋体" w:hAnsi="宋体" w:cs="宋体"/>
                <w:b w:val="0"/>
                <w:bCs/>
                <w:color w:val="auto"/>
                <w:sz w:val="30"/>
                <w:szCs w:val="30"/>
                <w:highlight w:val="none"/>
                <w:lang w:val="en-US" w:eastAsia="zh-CN"/>
              </w:rPr>
              <w:t>时间安排合理、</w:t>
            </w:r>
            <w:r>
              <w:rPr>
                <w:rFonts w:hint="eastAsia" w:ascii="宋体" w:hAnsi="宋体" w:eastAsia="宋体" w:cs="宋体"/>
                <w:b w:val="0"/>
                <w:bCs/>
                <w:color w:val="auto"/>
                <w:sz w:val="30"/>
                <w:szCs w:val="30"/>
                <w:highlight w:val="none"/>
                <w:lang w:val="zh-CN" w:eastAsia="zh-CN"/>
              </w:rPr>
              <w:t>针对性强得</w:t>
            </w:r>
            <w:r>
              <w:rPr>
                <w:rFonts w:hint="eastAsia" w:ascii="宋体" w:hAnsi="宋体" w:cs="宋体"/>
                <w:b w:val="0"/>
                <w:bCs/>
                <w:color w:val="auto"/>
                <w:sz w:val="30"/>
                <w:szCs w:val="30"/>
                <w:highlight w:val="none"/>
                <w:lang w:val="en-US" w:eastAsia="zh-CN"/>
              </w:rPr>
              <w:t>16-</w:t>
            </w:r>
            <w:r>
              <w:rPr>
                <w:rFonts w:hint="eastAsia" w:ascii="宋体" w:hAnsi="宋体" w:eastAsia="宋体" w:cs="宋体"/>
                <w:b w:val="0"/>
                <w:bCs/>
                <w:color w:val="auto"/>
                <w:sz w:val="30"/>
                <w:szCs w:val="30"/>
                <w:highlight w:val="none"/>
                <w:lang w:val="en-US" w:eastAsia="zh-CN"/>
              </w:rPr>
              <w:t>30</w:t>
            </w:r>
            <w:r>
              <w:rPr>
                <w:rFonts w:hint="eastAsia" w:ascii="宋体" w:hAnsi="宋体" w:eastAsia="宋体" w:cs="宋体"/>
                <w:b w:val="0"/>
                <w:bCs/>
                <w:color w:val="auto"/>
                <w:sz w:val="30"/>
                <w:szCs w:val="30"/>
                <w:highlight w:val="none"/>
                <w:lang w:val="zh-CN" w:eastAsia="zh-CN"/>
              </w:rPr>
              <w:t>分；方案内容基本具体，部分具有针对性得</w:t>
            </w:r>
            <w:r>
              <w:rPr>
                <w:rFonts w:hint="eastAsia" w:ascii="宋体" w:hAnsi="宋体" w:cs="宋体"/>
                <w:b w:val="0"/>
                <w:bCs/>
                <w:color w:val="auto"/>
                <w:sz w:val="30"/>
                <w:szCs w:val="30"/>
                <w:highlight w:val="none"/>
                <w:lang w:val="en-US" w:eastAsia="zh-CN"/>
              </w:rPr>
              <w:t>6-</w:t>
            </w:r>
            <w:r>
              <w:rPr>
                <w:rFonts w:hint="eastAsia" w:ascii="宋体" w:hAnsi="宋体" w:eastAsia="宋体" w:cs="宋体"/>
                <w:b w:val="0"/>
                <w:bCs/>
                <w:color w:val="auto"/>
                <w:sz w:val="30"/>
                <w:szCs w:val="30"/>
                <w:highlight w:val="none"/>
                <w:lang w:val="en-US" w:eastAsia="zh-CN"/>
              </w:rPr>
              <w:t>15</w:t>
            </w:r>
            <w:r>
              <w:rPr>
                <w:rFonts w:hint="eastAsia" w:ascii="宋体" w:hAnsi="宋体" w:eastAsia="宋体" w:cs="宋体"/>
                <w:b w:val="0"/>
                <w:bCs/>
                <w:color w:val="auto"/>
                <w:sz w:val="30"/>
                <w:szCs w:val="30"/>
                <w:highlight w:val="none"/>
                <w:lang w:val="zh-CN" w:eastAsia="zh-CN"/>
              </w:rPr>
              <w:t>分；方案内容不够具体，针对性差得</w:t>
            </w:r>
            <w:r>
              <w:rPr>
                <w:rFonts w:hint="eastAsia" w:ascii="宋体" w:hAnsi="宋体" w:cs="宋体"/>
                <w:b w:val="0"/>
                <w:bCs/>
                <w:color w:val="auto"/>
                <w:sz w:val="30"/>
                <w:szCs w:val="30"/>
                <w:highlight w:val="none"/>
                <w:lang w:val="en-US" w:eastAsia="zh-CN"/>
              </w:rPr>
              <w:t>1-</w:t>
            </w:r>
            <w:r>
              <w:rPr>
                <w:rFonts w:hint="eastAsia" w:ascii="宋体" w:hAnsi="宋体" w:eastAsia="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lang w:val="zh-CN" w:eastAsia="zh-CN"/>
              </w:rPr>
              <w:t>分；不提供得0分。</w:t>
            </w:r>
          </w:p>
        </w:tc>
      </w:tr>
    </w:tbl>
    <w:p w14:paraId="36B455A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p>
    <w:p w14:paraId="7D5270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22DDE2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40E55D1">
      <w:pPr>
        <w:pStyle w:val="12"/>
        <w:rPr>
          <w:rFonts w:hint="eastAsia" w:ascii="仿宋" w:hAnsi="仿宋" w:eastAsia="仿宋" w:cs="仿宋"/>
          <w:sz w:val="32"/>
          <w:szCs w:val="32"/>
          <w:highlight w:val="none"/>
          <w:lang w:val="en-US" w:eastAsia="zh-CN"/>
        </w:rPr>
      </w:pPr>
    </w:p>
    <w:p w14:paraId="2666BF57">
      <w:pPr>
        <w:pStyle w:val="13"/>
        <w:spacing w:before="100" w:after="100"/>
        <w:ind w:left="0" w:leftChars="0" w:firstLine="0" w:firstLineChars="0"/>
        <w:rPr>
          <w:rFonts w:hint="eastAsia" w:ascii="仿宋" w:hAnsi="仿宋" w:eastAsia="仿宋" w:cs="仿宋"/>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14:paraId="13FEBEB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D25F48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56CAC9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3CFEB1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16A84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0E2894FB">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4E3598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6B2D9D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82CB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446984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F35E0FD">
      <w:pPr>
        <w:ind w:firstLine="6400" w:firstLineChars="2000"/>
        <w:rPr>
          <w:rFonts w:hint="eastAsia" w:ascii="仿宋_GB2312" w:hAnsi="仿宋_GB2312" w:eastAsia="仿宋_GB2312" w:cs="仿宋_GB2312"/>
          <w:sz w:val="32"/>
          <w:szCs w:val="32"/>
        </w:rPr>
      </w:pPr>
    </w:p>
    <w:p w14:paraId="61D44FC3">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756BD1E9">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67F090F7">
      <w:pPr>
        <w:pStyle w:val="12"/>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type="lines" w:linePitch="312" w:charSpace="0"/>
        </w:sectPr>
      </w:pPr>
    </w:p>
    <w:p w14:paraId="2683ADE5">
      <w:pPr>
        <w:pStyle w:val="13"/>
        <w:spacing w:before="100" w:after="100"/>
        <w:ind w:left="0" w:leftChars="0"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附件4：</w:t>
      </w:r>
    </w:p>
    <w:tbl>
      <w:tblPr>
        <w:tblStyle w:val="14"/>
        <w:tblW w:w="7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65"/>
        <w:gridCol w:w="898"/>
        <w:gridCol w:w="1815"/>
        <w:gridCol w:w="2700"/>
      </w:tblGrid>
      <w:tr w14:paraId="5BAB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565" w:type="dxa"/>
            <w:tcBorders>
              <w:top w:val="single" w:color="000000" w:sz="4" w:space="0"/>
              <w:left w:val="single" w:color="000000" w:sz="4" w:space="0"/>
              <w:bottom w:val="single" w:color="000000" w:sz="4" w:space="0"/>
              <w:right w:val="single" w:color="000000" w:sz="4" w:space="0"/>
            </w:tcBorders>
            <w:noWrap/>
            <w:vAlign w:val="center"/>
          </w:tcPr>
          <w:p w14:paraId="6C2C2E11">
            <w:pPr>
              <w:keepNext w:val="0"/>
              <w:keepLines w:val="0"/>
              <w:widowControl/>
              <w:suppressLineNumbers w:val="0"/>
              <w:jc w:val="center"/>
              <w:textAlignment w:val="bottom"/>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车辆类型</w:t>
            </w: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56BC5DD6">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751885D1">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42C6E8A">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r>
      <w:tr w14:paraId="76C8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63F614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18吨纯电动清洗车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5A81D27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2A999FC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989300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530D07D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8903700</w:t>
            </w:r>
          </w:p>
        </w:tc>
      </w:tr>
      <w:tr w14:paraId="58C2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3BED2B8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18吨纯电动洗扫车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38D7EAF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32F0FDF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1202700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794D073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16837800</w:t>
            </w:r>
          </w:p>
        </w:tc>
      </w:tr>
      <w:tr w14:paraId="4C4E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3C416D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18吨纯电动抑尘车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146F0B3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3CF9664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1241500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0D7A8C1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9932000</w:t>
            </w:r>
          </w:p>
        </w:tc>
      </w:tr>
      <w:tr w14:paraId="5BF3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7523C7E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18吨纯电动高压清洗车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76CAD87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7BC0415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989300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5FB2BEC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5935800</w:t>
            </w:r>
          </w:p>
        </w:tc>
      </w:tr>
      <w:tr w14:paraId="41BA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470E613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18吨纯电动洗扫车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37ABDE1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6A6EA56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1202700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7A59B6F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3608100</w:t>
            </w:r>
          </w:p>
        </w:tc>
      </w:tr>
      <w:tr w14:paraId="73A8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574C68B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18吨纯电动抑尘车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7C3C4F3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499BA6A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1241500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0474EA8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13656500</w:t>
            </w:r>
          </w:p>
        </w:tc>
      </w:tr>
      <w:tr w14:paraId="0399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190359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纯电动防役消毒洒水车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4D85134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6BA3F77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989400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291FD37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4947000</w:t>
            </w:r>
          </w:p>
        </w:tc>
      </w:tr>
      <w:tr w14:paraId="3422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6A82C5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纯电动洗扫车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4CD6ECF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067903D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1202800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121A4AF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2405600</w:t>
            </w:r>
          </w:p>
        </w:tc>
      </w:tr>
      <w:tr w14:paraId="3F44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18224D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12吨纯电动洗扫车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2F0231F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45678BF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6FED0A7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7560000</w:t>
            </w:r>
          </w:p>
        </w:tc>
      </w:tr>
      <w:tr w14:paraId="7E8B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55A16D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18吨纯电动清洗车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7787F04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2A325F1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910000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6E3ED2D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8190000</w:t>
            </w:r>
          </w:p>
        </w:tc>
      </w:tr>
      <w:tr w14:paraId="6BB4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434E0ED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18吨纯电动清洗车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578C371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3F85E94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968800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4D39122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14532000</w:t>
            </w:r>
          </w:p>
        </w:tc>
      </w:tr>
      <w:tr w14:paraId="4F9A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6C4F839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18吨纯电动洗扫车</w:t>
            </w: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7F97660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20C523C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1260000</w:t>
            </w: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63A6B9E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21420000</w:t>
            </w:r>
          </w:p>
        </w:tc>
      </w:tr>
      <w:tr w14:paraId="68B9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65" w:type="dxa"/>
            <w:tcBorders>
              <w:top w:val="single" w:color="000000" w:sz="4" w:space="0"/>
              <w:left w:val="single" w:color="000000" w:sz="4" w:space="0"/>
              <w:bottom w:val="single" w:color="000000" w:sz="4" w:space="0"/>
              <w:right w:val="single" w:color="000000" w:sz="4" w:space="0"/>
            </w:tcBorders>
            <w:noWrap/>
            <w:vAlign w:val="bottom"/>
          </w:tcPr>
          <w:p w14:paraId="2E3850EE">
            <w:pPr>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noWrap/>
            <w:vAlign w:val="bottom"/>
          </w:tcPr>
          <w:p w14:paraId="33F0544E">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w:t>
            </w:r>
          </w:p>
        </w:tc>
        <w:tc>
          <w:tcPr>
            <w:tcW w:w="1815" w:type="dxa"/>
            <w:tcBorders>
              <w:top w:val="single" w:color="000000" w:sz="4" w:space="0"/>
              <w:left w:val="single" w:color="000000" w:sz="4" w:space="0"/>
              <w:bottom w:val="single" w:color="000000" w:sz="4" w:space="0"/>
              <w:right w:val="single" w:color="000000" w:sz="4" w:space="0"/>
            </w:tcBorders>
            <w:noWrap/>
            <w:vAlign w:val="bottom"/>
          </w:tcPr>
          <w:p w14:paraId="125B57A1">
            <w:pPr>
              <w:rPr>
                <w:rFonts w:hint="eastAsia" w:ascii="宋体" w:hAnsi="宋体" w:eastAsia="宋体" w:cs="宋体"/>
                <w:b/>
                <w:bCs/>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noWrap/>
            <w:vAlign w:val="bottom"/>
          </w:tcPr>
          <w:p w14:paraId="39903B4F">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117928500</w:t>
            </w:r>
          </w:p>
        </w:tc>
      </w:tr>
    </w:tbl>
    <w:p w14:paraId="7F4EC91E">
      <w:pPr>
        <w:pStyle w:val="13"/>
        <w:rPr>
          <w:rFonts w:hint="default"/>
          <w:lang w:val="en-US" w:eastAsia="zh-CN"/>
        </w:rPr>
      </w:pPr>
    </w:p>
    <w:p w14:paraId="5877C47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CB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7C865">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7A7C865">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4"/>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00000014"/>
    <w:multiLevelType w:val="multilevel"/>
    <w:tmpl w:val="00000014"/>
    <w:lvl w:ilvl="0" w:tentative="0">
      <w:start w:val="1"/>
      <w:numFmt w:val="decimal"/>
      <w:pStyle w:val="1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1AD6A1C"/>
    <w:rsid w:val="025234C9"/>
    <w:rsid w:val="033A76CC"/>
    <w:rsid w:val="04760788"/>
    <w:rsid w:val="0477594A"/>
    <w:rsid w:val="065A0AB0"/>
    <w:rsid w:val="077B16E9"/>
    <w:rsid w:val="07FF36BC"/>
    <w:rsid w:val="087D1CE6"/>
    <w:rsid w:val="094F0AD4"/>
    <w:rsid w:val="0A2C0437"/>
    <w:rsid w:val="0A5114E7"/>
    <w:rsid w:val="0BFD4952"/>
    <w:rsid w:val="0DCD1AE2"/>
    <w:rsid w:val="0E494579"/>
    <w:rsid w:val="0F1958F7"/>
    <w:rsid w:val="0F600772"/>
    <w:rsid w:val="100B7DD6"/>
    <w:rsid w:val="117E16C8"/>
    <w:rsid w:val="11DF756D"/>
    <w:rsid w:val="11F272A1"/>
    <w:rsid w:val="17A51BCE"/>
    <w:rsid w:val="1A2226ED"/>
    <w:rsid w:val="1C7F3E11"/>
    <w:rsid w:val="1CEB654E"/>
    <w:rsid w:val="1DC22489"/>
    <w:rsid w:val="1E6710C6"/>
    <w:rsid w:val="1E952D0A"/>
    <w:rsid w:val="234B5C3C"/>
    <w:rsid w:val="250B339C"/>
    <w:rsid w:val="27BF38CF"/>
    <w:rsid w:val="283F1AED"/>
    <w:rsid w:val="28D56949"/>
    <w:rsid w:val="28E53C4D"/>
    <w:rsid w:val="29E1276B"/>
    <w:rsid w:val="2BC62952"/>
    <w:rsid w:val="2E111701"/>
    <w:rsid w:val="2EC3522E"/>
    <w:rsid w:val="2FFA768A"/>
    <w:rsid w:val="309143F1"/>
    <w:rsid w:val="31040B28"/>
    <w:rsid w:val="31187CAE"/>
    <w:rsid w:val="331104CE"/>
    <w:rsid w:val="34AD5A4A"/>
    <w:rsid w:val="35AA386B"/>
    <w:rsid w:val="35DA0371"/>
    <w:rsid w:val="36EC5FD8"/>
    <w:rsid w:val="384276BA"/>
    <w:rsid w:val="396F1F22"/>
    <w:rsid w:val="39B06AF4"/>
    <w:rsid w:val="3A001C20"/>
    <w:rsid w:val="3B0A75B4"/>
    <w:rsid w:val="3B7D13B0"/>
    <w:rsid w:val="3B930354"/>
    <w:rsid w:val="3BFE6232"/>
    <w:rsid w:val="3D1D6AF8"/>
    <w:rsid w:val="3E7C1F59"/>
    <w:rsid w:val="3EAF68F1"/>
    <w:rsid w:val="41100796"/>
    <w:rsid w:val="438D7307"/>
    <w:rsid w:val="44AA6782"/>
    <w:rsid w:val="454A3AE3"/>
    <w:rsid w:val="461026EE"/>
    <w:rsid w:val="464042EF"/>
    <w:rsid w:val="47B42BE7"/>
    <w:rsid w:val="47FB2A68"/>
    <w:rsid w:val="4A3D2009"/>
    <w:rsid w:val="4B2116C3"/>
    <w:rsid w:val="56606ABF"/>
    <w:rsid w:val="577C3677"/>
    <w:rsid w:val="589C7FC2"/>
    <w:rsid w:val="592D19D8"/>
    <w:rsid w:val="596040BD"/>
    <w:rsid w:val="5C731D1C"/>
    <w:rsid w:val="5CF873CF"/>
    <w:rsid w:val="5D1D6360"/>
    <w:rsid w:val="5D331AE8"/>
    <w:rsid w:val="5EDB6DBC"/>
    <w:rsid w:val="61215F42"/>
    <w:rsid w:val="621023F8"/>
    <w:rsid w:val="629E645C"/>
    <w:rsid w:val="62F72DBF"/>
    <w:rsid w:val="63B41DA5"/>
    <w:rsid w:val="644D5588"/>
    <w:rsid w:val="645810E0"/>
    <w:rsid w:val="64E3180B"/>
    <w:rsid w:val="655F1E1A"/>
    <w:rsid w:val="66AA2E1B"/>
    <w:rsid w:val="68F608D3"/>
    <w:rsid w:val="6A865CCF"/>
    <w:rsid w:val="6BA97B57"/>
    <w:rsid w:val="6CAC04F4"/>
    <w:rsid w:val="6EF25EC0"/>
    <w:rsid w:val="6FAB33E0"/>
    <w:rsid w:val="70722F5B"/>
    <w:rsid w:val="70D44079"/>
    <w:rsid w:val="72D27981"/>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5">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黑体" w:cs="Times New Roman"/>
      <w:sz w:val="36"/>
      <w:szCs w:val="20"/>
    </w:rPr>
  </w:style>
  <w:style w:type="paragraph" w:styleId="3">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2"/>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2"/>
    <w:qFormat/>
    <w:uiPriority w:val="0"/>
    <w:pPr>
      <w:adjustRightInd w:val="0"/>
      <w:spacing w:line="312" w:lineRule="atLeast"/>
      <w:ind w:firstLine="420"/>
      <w:textAlignment w:val="baseline"/>
    </w:pPr>
    <w:rPr>
      <w:kern w:val="0"/>
      <w:szCs w:val="24"/>
    </w:rPr>
  </w:style>
  <w:style w:type="paragraph" w:customStyle="1" w:styleId="19">
    <w:name w:val="样式1"/>
    <w:basedOn w:val="1"/>
    <w:qFormat/>
    <w:uiPriority w:val="0"/>
    <w:pPr>
      <w:numPr>
        <w:ilvl w:val="0"/>
        <w:numId w:val="2"/>
      </w:numPr>
      <w:adjustRightInd w:val="0"/>
      <w:textAlignment w:val="baseline"/>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1539</Words>
  <Characters>1764</Characters>
  <Lines>0</Lines>
  <Paragraphs>0</Paragraphs>
  <TotalTime>0</TotalTime>
  <ScaleCrop>false</ScaleCrop>
  <LinksUpToDate>false</LinksUpToDate>
  <CharactersWithSpaces>1793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2026-02-04T03:08:01Z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85BAF511B0C146D79D4DC4AFCC24B8E2_13</vt:lpwstr>
  </property>
  <property fmtid="{D5CDD505-2E9C-101B-9397-08002B2CF9AE}" pid="4" name="commondata">
    <vt:lpwstr>eyJoZGlkIjoiN2I0NDMxMDhhNzIxZjIxM2FiMjFkZWExNzY4MTY3OTUifQ==</vt:lpwstr>
  </property>
  <property fmtid="{D5CDD505-2E9C-101B-9397-08002B2CF9AE}" pid="5" name="KSOTemplateDocerSaveRecord">
    <vt:lpwstr>eyJoZGlkIjoiNGIwNDA4OWZhNDQ4ZDk0MzQ2YWQzNjBkOGNjMjc3MjgiLCJ1c2VySWQiOiIxNjk0MzU0NCJ9</vt:lpwstr>
  </property>
</Properties>
</file>