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6694A91D">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关于许昌市胖东来天使城生活服务圈公共停车及配套设施提升工程项目项下权益和收益价值评估服务机构的比选邀请函</w:t>
      </w:r>
    </w:p>
    <w:p w14:paraId="781A0D70">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9"/>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AD7FD78">
      <w:pPr>
        <w:pStyle w:val="2"/>
        <w:numPr>
          <w:ilvl w:val="1"/>
          <w:numId w:val="0"/>
        </w:numPr>
        <w:rPr>
          <w:rFonts w:hint="default" w:ascii="Times New Roman" w:hAnsi="Times New Roman" w:cs="Times New Roman"/>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一</w:t>
      </w:r>
      <w:r>
        <w:rPr>
          <w:rFonts w:hint="default" w:ascii="Times New Roman" w:hAnsi="Times New Roman" w:eastAsia="仿宋" w:cs="Times New Roman"/>
          <w:b/>
          <w:color w:val="auto"/>
          <w:sz w:val="36"/>
          <w:szCs w:val="36"/>
          <w:highlight w:val="none"/>
          <w:shd w:val="clear" w:color="auto" w:fill="auto"/>
        </w:rPr>
        <w:t>月</w:t>
      </w:r>
    </w:p>
    <w:p w14:paraId="33639C4B">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3D58D88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1DFE9303">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w:t>
      </w:r>
      <w:r>
        <w:rPr>
          <w:rFonts w:hint="default" w:ascii="Times New Roman" w:hAnsi="Times New Roman" w:eastAsia="仿宋_GB2312" w:cs="Times New Roman"/>
          <w:sz w:val="32"/>
          <w:szCs w:val="32"/>
          <w:lang w:val="en-US" w:eastAsia="zh-CN"/>
        </w:rPr>
        <w:t>建投交通发展</w:t>
      </w:r>
      <w:r>
        <w:rPr>
          <w:rFonts w:hint="default" w:ascii="Times New Roman" w:hAnsi="Times New Roman" w:eastAsia="仿宋_GB2312" w:cs="Times New Roman"/>
          <w:sz w:val="32"/>
          <w:szCs w:val="32"/>
          <w:lang w:val="en-US" w:eastAsia="zh-CN"/>
        </w:rPr>
        <w:t>有限公司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选方式选取一家评估机构对</w:t>
      </w:r>
      <w:r>
        <w:rPr>
          <w:rFonts w:hint="default" w:ascii="Times New Roman" w:hAnsi="Times New Roman" w:eastAsia="仿宋_GB2312" w:cs="Times New Roman"/>
          <w:sz w:val="32"/>
          <w:szCs w:val="32"/>
          <w:lang w:val="en-US" w:eastAsia="zh-CN"/>
        </w:rPr>
        <w:t>许昌市胖东来天使城生活服务圈公共停车及配套设施提升工程</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项下权益和收益价值</w:t>
      </w:r>
      <w:r>
        <w:rPr>
          <w:rFonts w:hint="default" w:ascii="Times New Roman" w:hAnsi="Times New Roman" w:eastAsia="仿宋_GB2312" w:cs="Times New Roman"/>
          <w:sz w:val="32"/>
          <w:szCs w:val="32"/>
          <w:lang w:val="en-US" w:eastAsia="zh-CN"/>
        </w:rPr>
        <w:t>进行评估并出具评估报告，</w:t>
      </w:r>
      <w:r>
        <w:rPr>
          <w:rFonts w:hint="default" w:ascii="Times New Roman" w:hAnsi="Times New Roman" w:eastAsia="仿宋_GB2312" w:cs="Times New Roman"/>
          <w:color w:val="auto"/>
          <w:sz w:val="32"/>
          <w:szCs w:val="32"/>
          <w:lang w:val="en-US" w:eastAsia="zh-CN"/>
        </w:rPr>
        <w:t>现诚邀符合资格条件的公司参加。</w:t>
      </w:r>
    </w:p>
    <w:p w14:paraId="464921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许昌市胖东来天使城生活服务圈公共停车及配套设施提升工程</w:t>
      </w:r>
      <w:r>
        <w:rPr>
          <w:rFonts w:hint="default" w:ascii="Times New Roman" w:hAnsi="Times New Roman" w:eastAsia="仿宋_GB2312" w:cs="Times New Roman"/>
          <w:sz w:val="32"/>
          <w:szCs w:val="32"/>
          <w:lang w:val="en-US" w:eastAsia="zh-CN"/>
        </w:rPr>
        <w:t>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许昌建投交通发展有限公司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w:t>
      </w:r>
      <w:r>
        <w:rPr>
          <w:rFonts w:hint="default" w:ascii="Times New Roman" w:hAnsi="Times New Roman" w:eastAsia="仿宋_GB2312" w:cs="Times New Roman"/>
          <w:sz w:val="32"/>
          <w:szCs w:val="32"/>
          <w:lang w:val="en-US" w:eastAsia="zh-CN"/>
        </w:rPr>
        <w:t>权益和收益评估报告</w:t>
      </w:r>
      <w:r>
        <w:rPr>
          <w:rFonts w:hint="default" w:ascii="Times New Roman" w:hAnsi="Times New Roman" w:eastAsia="仿宋_GB2312" w:cs="Times New Roman"/>
          <w:color w:val="auto"/>
          <w:sz w:val="32"/>
          <w:szCs w:val="32"/>
          <w:lang w:val="en-US" w:eastAsia="zh-CN"/>
        </w:rPr>
        <w:t>编制过程中，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项目项下</w:t>
      </w:r>
      <w:r>
        <w:rPr>
          <w:rFonts w:hint="default" w:ascii="Times New Roman" w:hAnsi="Times New Roman" w:eastAsia="仿宋_GB2312" w:cs="Times New Roman"/>
          <w:sz w:val="32"/>
          <w:szCs w:val="32"/>
          <w:lang w:val="en-US" w:eastAsia="zh-CN"/>
        </w:rPr>
        <w:t>权益和收益等涉及收入、成本、利润等</w:t>
      </w:r>
      <w:r>
        <w:rPr>
          <w:rFonts w:hint="default" w:ascii="Times New Roman" w:hAnsi="Times New Roman" w:eastAsia="仿宋_GB2312" w:cs="Times New Roman"/>
          <w:color w:val="auto"/>
          <w:sz w:val="32"/>
          <w:szCs w:val="32"/>
          <w:lang w:eastAsia="zh-CN"/>
        </w:rPr>
        <w:t>相关数据审查整理工作，</w:t>
      </w:r>
      <w:r>
        <w:rPr>
          <w:rFonts w:hint="default" w:ascii="Times New Roman" w:hAnsi="Times New Roman" w:eastAsia="仿宋_GB2312" w:cs="Times New Roman"/>
          <w:color w:val="auto"/>
          <w:sz w:val="32"/>
          <w:szCs w:val="32"/>
          <w:lang w:val="en-US" w:eastAsia="zh-CN"/>
        </w:rPr>
        <w:t>出具《评估报告》</w:t>
      </w:r>
      <w:r>
        <w:rPr>
          <w:rFonts w:hint="eastAsia" w:ascii="Times New Roman" w:hAnsi="Times New Roman" w:eastAsia="仿宋_GB2312" w:cs="Times New Roman"/>
          <w:color w:val="auto"/>
          <w:sz w:val="32"/>
          <w:szCs w:val="32"/>
          <w:lang w:val="en-US" w:eastAsia="zh-CN"/>
        </w:rPr>
        <w:t>；</w:t>
      </w:r>
      <w:bookmarkStart w:id="9" w:name="_GoBack"/>
      <w:bookmarkEnd w:id="9"/>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3F51F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12458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375975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2.具备出具《评估报告》的成功经验；</w:t>
      </w:r>
    </w:p>
    <w:p w14:paraId="494732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7C0CD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05A6A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7A0FE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06417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CD58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highlight w:val="none"/>
          <w:lang w:val="en-US" w:eastAsia="zh-CN"/>
        </w:rPr>
        <w:t>年2月6日</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lang w:eastAsia="zh-CN"/>
        </w:rPr>
        <w:t>将投标文件送达（邮寄）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186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99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38665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326252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75B8C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4DC3C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w:t>
      </w:r>
      <w:r>
        <w:rPr>
          <w:rFonts w:hint="default" w:ascii="Times New Roman" w:hAnsi="Times New Roman" w:eastAsia="仿宋_GB2312" w:cs="Times New Roman"/>
          <w:color w:val="auto"/>
          <w:sz w:val="32"/>
          <w:szCs w:val="32"/>
          <w:lang w:val="en-US" w:eastAsia="zh-CN"/>
        </w:rPr>
        <w:t>终止合作并</w:t>
      </w:r>
      <w:r>
        <w:rPr>
          <w:rFonts w:hint="default" w:ascii="Times New Roman" w:hAnsi="Times New Roman" w:eastAsia="仿宋_GB2312" w:cs="Times New Roman"/>
          <w:color w:val="auto"/>
          <w:sz w:val="32"/>
          <w:szCs w:val="32"/>
        </w:rPr>
        <w:t>选用其他</w:t>
      </w:r>
      <w:r>
        <w:rPr>
          <w:rFonts w:hint="default" w:ascii="Times New Roman" w:hAnsi="Times New Roman" w:eastAsia="仿宋_GB2312" w:cs="Times New Roman"/>
          <w:color w:val="auto"/>
          <w:sz w:val="32"/>
          <w:szCs w:val="32"/>
          <w:lang w:val="en-US" w:eastAsia="zh-CN"/>
        </w:rPr>
        <w:t>评估服务机构</w:t>
      </w:r>
      <w:r>
        <w:rPr>
          <w:rFonts w:hint="default" w:ascii="Times New Roman" w:hAnsi="Times New Roman" w:eastAsia="仿宋_GB2312" w:cs="Times New Roman"/>
          <w:color w:val="auto"/>
          <w:sz w:val="32"/>
          <w:szCs w:val="32"/>
        </w:rPr>
        <w:t>。</w:t>
      </w:r>
    </w:p>
    <w:p w14:paraId="723A09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203B4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lang w:val="en-US" w:eastAsia="zh-CN"/>
        </w:rPr>
        <w:t>11.49</w:t>
      </w:r>
      <w:r>
        <w:rPr>
          <w:rFonts w:hint="default" w:ascii="Times New Roman" w:hAnsi="Times New Roman" w:eastAsia="仿宋_GB2312" w:cs="Times New Roman"/>
          <w:color w:val="auto"/>
          <w:sz w:val="32"/>
          <w:szCs w:val="32"/>
          <w:highlight w:val="none"/>
          <w:lang w:val="en-US" w:eastAsia="zh-CN"/>
        </w:rPr>
        <w:t>万元。</w:t>
      </w:r>
    </w:p>
    <w:p w14:paraId="56CBA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85B16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6"/>
      <w:bookmarkEnd w:id="0"/>
      <w:bookmarkStart w:id="1" w:name="_Toc28359008"/>
      <w:bookmarkEnd w:id="1"/>
      <w:bookmarkStart w:id="2" w:name="_Toc28359085"/>
      <w:bookmarkEnd w:id="2"/>
      <w:bookmarkStart w:id="3" w:name="_Toc35393627"/>
      <w:bookmarkEnd w:id="3"/>
      <w:bookmarkStart w:id="4" w:name="_Toc35393795"/>
      <w:bookmarkEnd w:id="4"/>
      <w:bookmarkStart w:id="5" w:name="_Toc35393626"/>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385B5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许昌建投交通发展有限公司</w:t>
      </w:r>
    </w:p>
    <w:p w14:paraId="6F859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E10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 xml:space="preserve">化先生 </w:t>
      </w:r>
      <w:r>
        <w:rPr>
          <w:rFonts w:hint="default" w:ascii="Times New Roman" w:hAnsi="Times New Roman" w:eastAsia="仿宋_GB2312" w:cs="Times New Roman"/>
          <w:b w:val="0"/>
          <w:bCs/>
          <w:color w:val="auto"/>
          <w:sz w:val="32"/>
          <w:szCs w:val="32"/>
          <w:highlight w:val="none"/>
          <w:lang w:val="en-GB" w:eastAsia="zh-CN"/>
        </w:rPr>
        <w:t xml:space="preserve">        </w:t>
      </w:r>
    </w:p>
    <w:p w14:paraId="45843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2B698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C7D9F48">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5A9615CA">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58003767">
      <w:pPr>
        <w:pStyle w:val="14"/>
        <w:rPr>
          <w:rFonts w:hint="default" w:ascii="Times New Roman" w:hAnsi="Times New Roman" w:eastAsia="仿宋" w:cs="Times New Roman"/>
          <w:b/>
          <w:bCs/>
          <w:color w:val="auto"/>
          <w:sz w:val="24"/>
          <w:szCs w:val="24"/>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3D21E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2.根据项目贷款银行权益质押要求，对</w:t>
      </w:r>
      <w:r>
        <w:rPr>
          <w:rFonts w:hint="default" w:ascii="Times New Roman" w:hAnsi="Times New Roman" w:eastAsia="仿宋_GB2312" w:cs="Times New Roman"/>
          <w:sz w:val="32"/>
          <w:szCs w:val="32"/>
          <w:lang w:val="en-US" w:eastAsia="zh-CN"/>
        </w:rPr>
        <w:t>许昌市胖东来天使城生活服务圈公共停车及配套设施提升工程项目</w:t>
      </w:r>
      <w:r>
        <w:rPr>
          <w:rFonts w:hint="default" w:ascii="Times New Roman" w:hAnsi="Times New Roman" w:eastAsia="仿宋_GB2312" w:cs="Times New Roman"/>
          <w:sz w:val="32"/>
          <w:szCs w:val="32"/>
          <w:lang w:val="en-US" w:eastAsia="zh-CN"/>
        </w:rPr>
        <w:t>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77A6A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429034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0FEFF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4A32A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获得满足项目贷款银行质押要求的《评估报告》</w:t>
      </w:r>
      <w:r>
        <w:rPr>
          <w:rFonts w:hint="default" w:ascii="Times New Roman" w:hAnsi="Times New Roman" w:eastAsia="仿宋_GB2312" w:cs="Times New Roman"/>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w:t>
      </w:r>
      <w:r>
        <w:rPr>
          <w:rFonts w:hint="default" w:ascii="Times New Roman" w:hAnsi="Times New Roman" w:eastAsia="仿宋_GB2312" w:cs="Times New Roman"/>
          <w:color w:val="auto"/>
          <w:sz w:val="32"/>
          <w:szCs w:val="32"/>
          <w:highlight w:val="none"/>
          <w:lang w:val="en-US" w:eastAsia="zh-CN"/>
        </w:rPr>
        <w:t>评估</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lang w:val="zh-CN" w:eastAsia="zh-CN"/>
        </w:rPr>
        <w:t>最高限价为</w:t>
      </w:r>
      <w:r>
        <w:rPr>
          <w:rFonts w:hint="default" w:ascii="Times New Roman" w:hAnsi="Times New Roman" w:eastAsia="仿宋_GB2312" w:cs="Times New Roman"/>
          <w:color w:val="auto"/>
          <w:sz w:val="32"/>
          <w:szCs w:val="32"/>
          <w:lang w:val="en-US" w:eastAsia="zh-CN"/>
        </w:rPr>
        <w:t>11.49</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lang w:val="zh-CN" w:eastAsia="zh-CN"/>
        </w:rPr>
        <w:t>，超出最高限价的投标无效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许昌市胖东来天使城生活服务圈公共停车及配套设施提升工程项目项下权益和收益价值评估服务项目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w:t>
            </w:r>
            <w:r>
              <w:rPr>
                <w:rFonts w:hint="default" w:ascii="Times New Roman" w:hAnsi="Times New Roman" w:eastAsia="仿宋" w:cs="Times New Roman"/>
                <w:color w:val="auto"/>
                <w:sz w:val="24"/>
                <w:szCs w:val="24"/>
                <w:lang w:val="en-US" w:eastAsia="zh-CN"/>
              </w:rPr>
              <w:t>根据工作需要，评估机构对许昌市胖东来天使城生活服务圈公共停车及配套设施提升工程项目项下权益和收益等涉及收入、成本、利润等</w:t>
            </w:r>
            <w:r>
              <w:rPr>
                <w:rFonts w:hint="default" w:ascii="Times New Roman" w:hAnsi="Times New Roman" w:eastAsia="仿宋" w:cs="Times New Roman"/>
                <w:color w:val="auto"/>
                <w:sz w:val="24"/>
                <w:szCs w:val="24"/>
                <w:lang w:val="zh-CN" w:eastAsia="zh-CN"/>
              </w:rPr>
              <w:t>相关数据审查整理工作，</w:t>
            </w:r>
            <w:r>
              <w:rPr>
                <w:rFonts w:hint="default" w:ascii="Times New Roman" w:hAnsi="Times New Roman" w:eastAsia="仿宋" w:cs="Times New Roman"/>
                <w:color w:val="auto"/>
                <w:sz w:val="24"/>
                <w:szCs w:val="24"/>
                <w:lang w:val="en-US" w:eastAsia="zh-CN"/>
              </w:rPr>
              <w:t>出具《评估报告》，确保符合项目贷款银行质押要求。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招</w:t>
            </w:r>
            <w:r>
              <w:rPr>
                <w:rFonts w:hint="default" w:ascii="Times New Roman" w:hAnsi="Times New Roman" w:eastAsia="仿宋" w:cs="Times New Roman"/>
                <w:bCs/>
                <w:color w:val="auto"/>
                <w:sz w:val="24"/>
                <w:szCs w:val="24"/>
                <w:highlight w:val="none"/>
                <w:lang w:val="zh-CN" w:eastAsia="zh-CN"/>
              </w:rPr>
              <w:t>标</w:t>
            </w:r>
            <w:r>
              <w:rPr>
                <w:rFonts w:hint="default" w:ascii="Times New Roman" w:hAnsi="Times New Roman" w:eastAsia="仿宋" w:cs="Times New Roman"/>
                <w:bCs/>
                <w:color w:val="auto"/>
                <w:sz w:val="24"/>
                <w:szCs w:val="24"/>
                <w:highlight w:val="none"/>
                <w:lang w:val="en-US" w:eastAsia="zh-CN"/>
              </w:rPr>
              <w:t>人</w:t>
            </w:r>
            <w:r>
              <w:rPr>
                <w:rFonts w:hint="default" w:ascii="Times New Roman" w:hAnsi="Times New Roman" w:eastAsia="仿宋" w:cs="Times New Roman"/>
                <w:bCs/>
                <w:color w:val="auto"/>
                <w:sz w:val="24"/>
                <w:szCs w:val="24"/>
                <w:highlight w:val="none"/>
                <w:lang w:val="zh-CN" w:eastAsia="zh-CN"/>
              </w:rPr>
              <w:t>名称：</w:t>
            </w:r>
            <w:r>
              <w:rPr>
                <w:rFonts w:hint="default" w:ascii="Times New Roman" w:hAnsi="Times New Roman" w:eastAsia="仿宋" w:cs="Times New Roman"/>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2EE7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5631274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5E84825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46DE02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2.具备出具《评估报告》的成功经验；</w:t>
            </w:r>
          </w:p>
          <w:p w14:paraId="5477165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130903B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评估服务业务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11.49万元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2026</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2月6日18</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00</w:t>
            </w:r>
            <w:r>
              <w:rPr>
                <w:rFonts w:hint="default" w:ascii="Times New Roman" w:hAnsi="Times New Roman" w:eastAsia="仿宋" w:cs="Times New Roman"/>
                <w:color w:val="auto"/>
                <w:sz w:val="24"/>
                <w:szCs w:val="24"/>
                <w:highlight w:val="none"/>
                <w:lang w:val="zh-CN" w:eastAsia="zh-CN"/>
              </w:rPr>
              <w:t>分（北京时</w:t>
            </w:r>
            <w:r>
              <w:rPr>
                <w:rFonts w:hint="default" w:ascii="Times New Roman" w:hAnsi="Times New Roman" w:eastAsia="仿宋" w:cs="Times New Roman"/>
                <w:color w:val="auto"/>
                <w:sz w:val="24"/>
                <w:szCs w:val="24"/>
                <w:lang w:val="zh-CN" w:eastAsia="zh-CN"/>
              </w:rPr>
              <w:t>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少于3家则本次评标过程无效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783EC9B7">
            <w:pPr>
              <w:widowControl/>
              <w:spacing w:line="440" w:lineRule="exact"/>
              <w:jc w:val="left"/>
              <w:textAlignment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kern w:val="0"/>
                <w:sz w:val="28"/>
                <w:szCs w:val="28"/>
                <w:highlight w:val="none"/>
                <w:lang w:bidi="ar"/>
              </w:rPr>
              <w:t>1.超过</w:t>
            </w:r>
            <w:r>
              <w:rPr>
                <w:rFonts w:hint="default" w:ascii="Times New Roman" w:hAnsi="Times New Roman" w:eastAsia="仿宋_GB2312" w:cs="Times New Roman"/>
                <w:color w:val="auto"/>
                <w:sz w:val="32"/>
                <w:szCs w:val="32"/>
                <w:highlight w:val="none"/>
                <w:lang w:val="en-US" w:eastAsia="zh-CN"/>
              </w:rPr>
              <w:t>11.49</w:t>
            </w:r>
            <w:r>
              <w:rPr>
                <w:rFonts w:hint="default" w:ascii="Times New Roman" w:hAnsi="Times New Roman" w:cs="Times New Roman" w:eastAsia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000000"/>
                <w:kern w:val="0"/>
                <w:sz w:val="28"/>
                <w:szCs w:val="28"/>
                <w:lang w:bidi="ar"/>
              </w:rPr>
              <w:t>2.</w:t>
            </w:r>
            <w:r>
              <w:rPr>
                <w:rFonts w:hint="default" w:ascii="Times New Roman" w:hAnsi="Times New Roman" w:cs="Times New Roman" w:eastAsiaTheme="minorEastAsia"/>
                <w:color w:val="auto"/>
                <w:sz w:val="28"/>
                <w:szCs w:val="28"/>
                <w:highlight w:val="none"/>
                <w:lang w:val="en-US" w:eastAsia="zh-CN"/>
              </w:rPr>
              <w:t>所有参与的比选申请人报价的平均值作为基准报价；</w:t>
            </w:r>
          </w:p>
          <w:p w14:paraId="694B2E9C">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eastAsiaTheme="minorEastAsia"/>
                <w:color w:val="auto"/>
                <w:sz w:val="28"/>
                <w:szCs w:val="28"/>
                <w:highlight w:val="none"/>
                <w:lang w:val="en-US" w:eastAsia="zh-CN"/>
              </w:rPr>
              <w:t>3.报价得分=（1-∣选聘基准价-评估费用报价∣/选聘基准价）×20分。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6FF9B582">
            <w:pPr>
              <w:tabs>
                <w:tab w:val="left" w:pos="622"/>
              </w:tabs>
              <w:spacing w:line="440" w:lineRule="exact"/>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服务本次评估业务的评估服务团队成员至少2名，1人不得分，2人及以上每有1名资产评估师的得5分，最高20分。</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40分</w:t>
            </w:r>
          </w:p>
        </w:tc>
        <w:tc>
          <w:tcPr>
            <w:tcW w:w="4004" w:type="dxa"/>
            <w:vAlign w:val="center"/>
          </w:tcPr>
          <w:p w14:paraId="4E3D402E">
            <w:pPr>
              <w:numPr>
                <w:ilvl w:val="0"/>
                <w:numId w:val="4"/>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w:t>
            </w:r>
            <w:r>
              <w:rPr>
                <w:rFonts w:hint="default" w:ascii="Times New Roman" w:hAnsi="Times New Roman" w:cs="Times New Roman"/>
                <w:sz w:val="28"/>
                <w:szCs w:val="28"/>
                <w:lang w:val="en-US" w:eastAsia="zh-CN"/>
              </w:rPr>
              <w:t>评估</w:t>
            </w:r>
            <w:r>
              <w:rPr>
                <w:rFonts w:hint="default" w:ascii="Times New Roman" w:hAnsi="Times New Roman" w:cs="Times New Roman"/>
                <w:sz w:val="28"/>
                <w:szCs w:val="28"/>
                <w:lang w:eastAsia="zh-CN"/>
              </w:rPr>
              <w:t>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2、服务方案详细、完好、全面，评估中涉及与金融机构、咨询机构、财务等协调沟通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default" w:ascii="Times New Roman" w:hAnsi="Times New Roman" w:cs="Times New Roman"/>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4D2EEF2F">
            <w:pPr>
              <w:tabs>
                <w:tab w:val="left" w:pos="622"/>
              </w:tabs>
              <w:spacing w:line="240" w:lineRule="auto"/>
              <w:jc w:val="left"/>
              <w:rPr>
                <w:rFonts w:hint="default" w:ascii="Times New Roman" w:hAnsi="Times New Roman" w:cs="Times New Roman"/>
                <w:lang w:val="en-US" w:eastAsia="zh-CN"/>
              </w:rPr>
            </w:pPr>
            <w:r>
              <w:rPr>
                <w:rFonts w:hint="default" w:ascii="Times New Roman" w:hAnsi="Times New Roman" w:eastAsia="宋体" w:cs="Times New Roman"/>
                <w:color w:val="auto"/>
                <w:sz w:val="28"/>
                <w:szCs w:val="28"/>
                <w:lang w:val="en-US" w:eastAsia="zh-CN"/>
              </w:rPr>
              <w:t>每提供一份近三年（即2023年1月1日起）取得的相关收益和权益类项目评估服务证明材料</w:t>
            </w:r>
            <w:r>
              <w:rPr>
                <w:rFonts w:hint="default" w:ascii="Times New Roman" w:hAnsi="Times New Roman" w:cs="Times New Roman"/>
                <w:color w:val="auto"/>
                <w:sz w:val="28"/>
                <w:szCs w:val="28"/>
                <w:lang w:val="en-US" w:eastAsia="zh-CN"/>
              </w:rPr>
              <w:t>（服务合同或成果文件）</w:t>
            </w:r>
            <w:r>
              <w:rPr>
                <w:rFonts w:hint="default" w:ascii="Times New Roman" w:hAnsi="Times New Roman" w:eastAsia="宋体" w:cs="Times New Roman"/>
                <w:color w:val="auto"/>
                <w:sz w:val="28"/>
                <w:szCs w:val="28"/>
                <w:lang w:val="en-US" w:eastAsia="zh-CN"/>
              </w:rPr>
              <w:t>的得5分，最高20分。</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1EC3CF97">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C165F07">
      <w:pPr>
        <w:spacing w:line="360" w:lineRule="auto"/>
        <w:jc w:val="both"/>
        <w:rPr>
          <w:rFonts w:hint="default" w:ascii="Times New Roman" w:hAnsi="Times New Roman" w:eastAsia="仿宋" w:cs="Times New Roman"/>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1046C92">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关于许昌市胖东来天使城生活服务圈公共停车及配套设施提升工程项目项下权益和收益价值评估服务机构的比选邀请函</w:t>
      </w:r>
    </w:p>
    <w:p w14:paraId="2939CA19">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4E27AF4E">
      <w:pPr>
        <w:jc w:val="both"/>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2"/>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7C5EC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6D84452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4"/>
        <w:rPr>
          <w:rFonts w:hint="default" w:ascii="Times New Roman" w:hAnsi="Times New Roman" w:eastAsia="仿宋" w:cs="Times New Roman"/>
          <w:color w:val="auto"/>
          <w:sz w:val="24"/>
          <w:szCs w:val="24"/>
        </w:rPr>
      </w:pPr>
    </w:p>
    <w:p w14:paraId="5D33D664">
      <w:pPr>
        <w:pStyle w:val="15"/>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4"/>
        <w:rPr>
          <w:rFonts w:hint="default" w:ascii="Times New Roman" w:hAnsi="Times New Roman" w:eastAsia="仿宋" w:cs="Times New Roman"/>
          <w:color w:val="auto"/>
          <w:sz w:val="24"/>
          <w:szCs w:val="24"/>
        </w:rPr>
      </w:pPr>
    </w:p>
    <w:p w14:paraId="0AABE06A">
      <w:pPr>
        <w:pStyle w:val="15"/>
        <w:rPr>
          <w:rFonts w:hint="default" w:ascii="Times New Roman" w:hAnsi="Times New Roman" w:eastAsia="仿宋" w:cs="Times New Roman"/>
          <w:color w:val="auto"/>
          <w:sz w:val="24"/>
          <w:szCs w:val="24"/>
        </w:rPr>
      </w:pPr>
    </w:p>
    <w:p w14:paraId="60D40CDF">
      <w:pPr>
        <w:pStyle w:val="12"/>
        <w:rPr>
          <w:rFonts w:hint="default" w:ascii="Times New Roman" w:hAnsi="Times New Roman" w:eastAsia="仿宋" w:cs="Times New Roman"/>
          <w:color w:val="auto"/>
          <w:sz w:val="24"/>
          <w:szCs w:val="24"/>
        </w:rPr>
      </w:pPr>
    </w:p>
    <w:p w14:paraId="1C59E586">
      <w:pPr>
        <w:pStyle w:val="12"/>
        <w:rPr>
          <w:rFonts w:hint="default" w:ascii="Times New Roman" w:hAnsi="Times New Roman" w:eastAsia="仿宋" w:cs="Times New Roman"/>
          <w:color w:val="auto"/>
          <w:sz w:val="24"/>
          <w:szCs w:val="24"/>
        </w:rPr>
      </w:pPr>
    </w:p>
    <w:p w14:paraId="08EE9325">
      <w:pPr>
        <w:pStyle w:val="12"/>
        <w:rPr>
          <w:rFonts w:hint="default" w:ascii="Times New Roman" w:hAnsi="Times New Roman" w:eastAsia="仿宋" w:cs="Times New Roman"/>
          <w:color w:val="auto"/>
          <w:sz w:val="24"/>
          <w:szCs w:val="24"/>
        </w:rPr>
      </w:pPr>
    </w:p>
    <w:p w14:paraId="72F998DA">
      <w:pPr>
        <w:pStyle w:val="12"/>
        <w:rPr>
          <w:rFonts w:hint="default" w:ascii="Times New Roman" w:hAnsi="Times New Roman" w:eastAsia="仿宋" w:cs="Times New Roman"/>
          <w:color w:val="auto"/>
          <w:sz w:val="24"/>
          <w:szCs w:val="24"/>
        </w:rPr>
      </w:pPr>
    </w:p>
    <w:p w14:paraId="5B753709">
      <w:pPr>
        <w:pStyle w:val="15"/>
        <w:rPr>
          <w:rFonts w:hint="default" w:ascii="Times New Roman" w:hAnsi="Times New Roman" w:eastAsia="仿宋" w:cs="Times New Roman"/>
          <w:color w:val="auto"/>
          <w:sz w:val="24"/>
          <w:szCs w:val="24"/>
        </w:rPr>
      </w:pPr>
    </w:p>
    <w:p w14:paraId="043719FD">
      <w:pPr>
        <w:pStyle w:val="12"/>
        <w:rPr>
          <w:rFonts w:hint="default" w:ascii="Times New Roman" w:hAnsi="Times New Roman" w:cs="Times New Roman"/>
          <w:color w:val="auto"/>
        </w:rPr>
      </w:pPr>
    </w:p>
    <w:p w14:paraId="025FB6C6">
      <w:pPr>
        <w:rPr>
          <w:rFonts w:hint="default" w:ascii="Times New Roman" w:hAnsi="Times New Roman" w:eastAsia="仿宋" w:cs="Times New Roman"/>
          <w:color w:val="auto"/>
          <w:sz w:val="24"/>
          <w:szCs w:val="24"/>
        </w:rPr>
      </w:pPr>
    </w:p>
    <w:p w14:paraId="064E6B6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9"/>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2"/>
        <w:numPr>
          <w:ilvl w:val="1"/>
          <w:numId w:val="0"/>
        </w:numPr>
        <w:rPr>
          <w:rFonts w:hint="default" w:ascii="Times New Roman" w:hAnsi="Times New Roman" w:cs="Times New Roman"/>
          <w:color w:val="auto"/>
          <w:lang w:val="zh-CN"/>
        </w:rPr>
      </w:pPr>
    </w:p>
    <w:p w14:paraId="2344FC94">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4"/>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附营业执照等（或评估机构执业许可材料）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70B20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7C1676CC">
      <w:pPr>
        <w:ind w:firstLine="6400" w:firstLineChars="2000"/>
        <w:rPr>
          <w:rFonts w:hint="default" w:ascii="Times New Roman" w:hAnsi="Times New Roman" w:eastAsia="仿宋_GB2312" w:cs="Times New Roman"/>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_GB2312" w:cs="Times New Roman"/>
          <w:color w:val="auto"/>
          <w:sz w:val="32"/>
          <w:szCs w:val="32"/>
          <w:lang w:val="en-US" w:eastAsia="zh-CN"/>
        </w:rPr>
        <w:t xml:space="preserve">      </w:t>
      </w:r>
    </w:p>
    <w:p w14:paraId="2FA4C3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22CFCDFC">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9"/>
        <w:spacing w:line="360" w:lineRule="auto"/>
        <w:jc w:val="center"/>
        <w:rPr>
          <w:rFonts w:hint="default" w:ascii="Times New Roman" w:hAnsi="Times New Roman" w:eastAsia="仿宋" w:cs="Times New Roman"/>
          <w:b/>
          <w:bCs/>
          <w:color w:val="auto"/>
          <w:sz w:val="28"/>
          <w:szCs w:val="28"/>
          <w:highlight w:val="none"/>
        </w:rPr>
      </w:pPr>
    </w:p>
    <w:p w14:paraId="4E52068B">
      <w:pPr>
        <w:pStyle w:val="9"/>
        <w:spacing w:line="360" w:lineRule="auto"/>
        <w:jc w:val="center"/>
        <w:rPr>
          <w:rFonts w:hint="default" w:ascii="Times New Roman" w:hAnsi="Times New Roman" w:eastAsia="仿宋" w:cs="Times New Roman"/>
          <w:b/>
          <w:bCs/>
          <w:color w:val="auto"/>
          <w:sz w:val="28"/>
          <w:szCs w:val="28"/>
          <w:highlight w:val="none"/>
        </w:rPr>
      </w:pPr>
    </w:p>
    <w:p w14:paraId="3643D852">
      <w:pPr>
        <w:pStyle w:val="9"/>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56253435">
      <w:pPr>
        <w:pStyle w:val="9"/>
        <w:spacing w:line="360" w:lineRule="auto"/>
        <w:jc w:val="center"/>
        <w:rPr>
          <w:rFonts w:hint="default" w:ascii="Times New Roman" w:hAnsi="Times New Roman" w:eastAsia="仿宋" w:cs="Times New Roman"/>
          <w:b/>
          <w:bCs/>
          <w:color w:val="auto"/>
          <w:sz w:val="28"/>
          <w:szCs w:val="28"/>
          <w:highlight w:val="none"/>
        </w:rPr>
      </w:pPr>
    </w:p>
    <w:p w14:paraId="69305B96">
      <w:pPr>
        <w:pStyle w:val="9"/>
        <w:spacing w:line="360" w:lineRule="auto"/>
        <w:jc w:val="both"/>
        <w:rPr>
          <w:rFonts w:hint="default" w:ascii="Times New Roman" w:hAnsi="Times New Roman" w:eastAsia="仿宋" w:cs="Times New Roman"/>
          <w:b/>
          <w:bCs/>
          <w:color w:val="auto"/>
          <w:sz w:val="28"/>
          <w:szCs w:val="28"/>
          <w:highlight w:val="none"/>
        </w:rPr>
      </w:pPr>
    </w:p>
    <w:p w14:paraId="0D2A0D55">
      <w:pPr>
        <w:pStyle w:val="9"/>
        <w:spacing w:line="360" w:lineRule="auto"/>
        <w:jc w:val="both"/>
        <w:rPr>
          <w:rFonts w:hint="default" w:ascii="Times New Roman" w:hAnsi="Times New Roman" w:eastAsia="仿宋" w:cs="Times New Roman"/>
          <w:b/>
          <w:bCs/>
          <w:color w:val="auto"/>
          <w:sz w:val="28"/>
          <w:szCs w:val="28"/>
          <w:highlight w:val="none"/>
        </w:rPr>
      </w:pPr>
    </w:p>
    <w:p w14:paraId="5F0A48E6">
      <w:pPr>
        <w:pStyle w:val="9"/>
        <w:spacing w:line="360" w:lineRule="auto"/>
        <w:jc w:val="both"/>
        <w:rPr>
          <w:rFonts w:hint="default" w:ascii="Times New Roman" w:hAnsi="Times New Roman" w:eastAsia="仿宋" w:cs="Times New Roman"/>
          <w:b/>
          <w:bCs/>
          <w:color w:val="auto"/>
          <w:sz w:val="28"/>
          <w:szCs w:val="28"/>
          <w:highlight w:val="none"/>
        </w:rPr>
      </w:pPr>
    </w:p>
    <w:p w14:paraId="49311E6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5.3评估服务业绩证明材料</w:t>
      </w:r>
    </w:p>
    <w:p w14:paraId="7F1AC20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9"/>
        <w:spacing w:line="360" w:lineRule="auto"/>
        <w:jc w:val="center"/>
        <w:rPr>
          <w:rFonts w:hint="default" w:ascii="Times New Roman" w:hAnsi="Times New Roman" w:eastAsia="仿宋" w:cs="Times New Roman"/>
          <w:b/>
          <w:bCs/>
          <w:color w:val="auto"/>
          <w:sz w:val="28"/>
          <w:szCs w:val="28"/>
          <w:highlight w:val="none"/>
        </w:rPr>
      </w:pPr>
    </w:p>
    <w:p w14:paraId="6FCF5EFB">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0C85F13F-356C-4B47-8446-E244A601C3E0}"/>
  </w:font>
  <w:font w:name="仿宋">
    <w:panose1 w:val="02010609060101010101"/>
    <w:charset w:val="86"/>
    <w:family w:val="auto"/>
    <w:pitch w:val="default"/>
    <w:sig w:usb0="800002BF" w:usb1="38CF7CFA" w:usb2="00000016" w:usb3="00000000" w:csb0="00040001" w:csb1="00000000"/>
    <w:embedRegular r:id="rId2" w:fontKey="{04EC6BFE-8598-4A0D-8F1A-8F1285494C41}"/>
  </w:font>
  <w:font w:name="仿宋_GB2312">
    <w:panose1 w:val="02010609030101010101"/>
    <w:charset w:val="86"/>
    <w:family w:val="auto"/>
    <w:pitch w:val="default"/>
    <w:sig w:usb0="00000001" w:usb1="080E0000" w:usb2="00000000" w:usb3="00000000" w:csb0="00040000" w:csb1="00000000"/>
    <w:embedRegular r:id="rId3" w:fontKey="{D5F3B830-80E5-4736-A637-17AEF89CF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A7647D"/>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8D361B1"/>
    <w:rsid w:val="0920266F"/>
    <w:rsid w:val="09413E70"/>
    <w:rsid w:val="0949606C"/>
    <w:rsid w:val="095664BF"/>
    <w:rsid w:val="09DE0417"/>
    <w:rsid w:val="0A454A85"/>
    <w:rsid w:val="0AD37A75"/>
    <w:rsid w:val="0AE13C65"/>
    <w:rsid w:val="0AF73FD1"/>
    <w:rsid w:val="0B5940BE"/>
    <w:rsid w:val="0C3A33FD"/>
    <w:rsid w:val="0D2766C4"/>
    <w:rsid w:val="0D5D5C42"/>
    <w:rsid w:val="0DF93BBD"/>
    <w:rsid w:val="0E0C126B"/>
    <w:rsid w:val="0E3C1CFB"/>
    <w:rsid w:val="0E6757EE"/>
    <w:rsid w:val="0EA06CB7"/>
    <w:rsid w:val="0EBD108E"/>
    <w:rsid w:val="0F004A9B"/>
    <w:rsid w:val="0F27553F"/>
    <w:rsid w:val="0F791428"/>
    <w:rsid w:val="1034136D"/>
    <w:rsid w:val="106B4B1A"/>
    <w:rsid w:val="110E640B"/>
    <w:rsid w:val="114E00FC"/>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8E3544F"/>
    <w:rsid w:val="19BF6E53"/>
    <w:rsid w:val="19D84FCE"/>
    <w:rsid w:val="19D918FD"/>
    <w:rsid w:val="1A1139B6"/>
    <w:rsid w:val="1B161797"/>
    <w:rsid w:val="1C7272F1"/>
    <w:rsid w:val="1C840373"/>
    <w:rsid w:val="1E796654"/>
    <w:rsid w:val="1EB84FB4"/>
    <w:rsid w:val="1ED90DA1"/>
    <w:rsid w:val="1EF15F8C"/>
    <w:rsid w:val="1F737547"/>
    <w:rsid w:val="1FCB70A4"/>
    <w:rsid w:val="20713A86"/>
    <w:rsid w:val="20B816B5"/>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666570F"/>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1A70B4"/>
    <w:rsid w:val="3E5F540E"/>
    <w:rsid w:val="404F2B3D"/>
    <w:rsid w:val="409E1FAE"/>
    <w:rsid w:val="409F25A6"/>
    <w:rsid w:val="40C1068E"/>
    <w:rsid w:val="40EB5E2E"/>
    <w:rsid w:val="4114428E"/>
    <w:rsid w:val="41686577"/>
    <w:rsid w:val="41B55B4E"/>
    <w:rsid w:val="41CC15E7"/>
    <w:rsid w:val="41CE016A"/>
    <w:rsid w:val="424C5BA2"/>
    <w:rsid w:val="427C033D"/>
    <w:rsid w:val="4286412E"/>
    <w:rsid w:val="42A3719F"/>
    <w:rsid w:val="42F80DB2"/>
    <w:rsid w:val="43DB72E5"/>
    <w:rsid w:val="43F81C45"/>
    <w:rsid w:val="4431250F"/>
    <w:rsid w:val="44396802"/>
    <w:rsid w:val="444F192C"/>
    <w:rsid w:val="445F479F"/>
    <w:rsid w:val="449C4CC6"/>
    <w:rsid w:val="44E26451"/>
    <w:rsid w:val="44FC06F4"/>
    <w:rsid w:val="4516025A"/>
    <w:rsid w:val="452426DB"/>
    <w:rsid w:val="45282B95"/>
    <w:rsid w:val="45440D98"/>
    <w:rsid w:val="458435F4"/>
    <w:rsid w:val="45C5024D"/>
    <w:rsid w:val="45C937D0"/>
    <w:rsid w:val="46BE746F"/>
    <w:rsid w:val="46CD1440"/>
    <w:rsid w:val="46F05143"/>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4F6AC2"/>
    <w:rsid w:val="4C6753F2"/>
    <w:rsid w:val="4CD53C0E"/>
    <w:rsid w:val="4D325232"/>
    <w:rsid w:val="4D666E75"/>
    <w:rsid w:val="4D814A59"/>
    <w:rsid w:val="4D926C66"/>
    <w:rsid w:val="4DC82688"/>
    <w:rsid w:val="4DE2074E"/>
    <w:rsid w:val="4DF80C26"/>
    <w:rsid w:val="4E994B9F"/>
    <w:rsid w:val="4F625BA7"/>
    <w:rsid w:val="4F701229"/>
    <w:rsid w:val="4F7D3946"/>
    <w:rsid w:val="4FF63304"/>
    <w:rsid w:val="50447F7A"/>
    <w:rsid w:val="50E64DEB"/>
    <w:rsid w:val="510A1419"/>
    <w:rsid w:val="51583D23"/>
    <w:rsid w:val="51AB02C4"/>
    <w:rsid w:val="51B3364F"/>
    <w:rsid w:val="51D3784E"/>
    <w:rsid w:val="52132340"/>
    <w:rsid w:val="52360357"/>
    <w:rsid w:val="529A0A10"/>
    <w:rsid w:val="52AD7609"/>
    <w:rsid w:val="52CD24EF"/>
    <w:rsid w:val="534C78B7"/>
    <w:rsid w:val="535B4E77"/>
    <w:rsid w:val="53762B86"/>
    <w:rsid w:val="55144E68"/>
    <w:rsid w:val="552C446C"/>
    <w:rsid w:val="5552317F"/>
    <w:rsid w:val="55820BFC"/>
    <w:rsid w:val="56312D95"/>
    <w:rsid w:val="56CE3AA9"/>
    <w:rsid w:val="56FC732B"/>
    <w:rsid w:val="570F4E24"/>
    <w:rsid w:val="57376C93"/>
    <w:rsid w:val="576522C3"/>
    <w:rsid w:val="57BA4624"/>
    <w:rsid w:val="57BF3FA4"/>
    <w:rsid w:val="58555460"/>
    <w:rsid w:val="59DD395F"/>
    <w:rsid w:val="59E21101"/>
    <w:rsid w:val="59FE29BC"/>
    <w:rsid w:val="5AB126F6"/>
    <w:rsid w:val="5AE96334"/>
    <w:rsid w:val="5B953DC6"/>
    <w:rsid w:val="5C07180B"/>
    <w:rsid w:val="5CAB6A20"/>
    <w:rsid w:val="5D1C02FB"/>
    <w:rsid w:val="5E2C6C63"/>
    <w:rsid w:val="5EE83DA2"/>
    <w:rsid w:val="5FE46C8E"/>
    <w:rsid w:val="5FEF5A95"/>
    <w:rsid w:val="60372166"/>
    <w:rsid w:val="608E4C5E"/>
    <w:rsid w:val="60C44F62"/>
    <w:rsid w:val="60D54EE6"/>
    <w:rsid w:val="60D55390"/>
    <w:rsid w:val="60F17CF0"/>
    <w:rsid w:val="612031E2"/>
    <w:rsid w:val="61946FF9"/>
    <w:rsid w:val="62EE098B"/>
    <w:rsid w:val="6400781B"/>
    <w:rsid w:val="648A3373"/>
    <w:rsid w:val="65031DA0"/>
    <w:rsid w:val="655F791E"/>
    <w:rsid w:val="65BB5819"/>
    <w:rsid w:val="661701F9"/>
    <w:rsid w:val="66984259"/>
    <w:rsid w:val="677A27ED"/>
    <w:rsid w:val="6785255B"/>
    <w:rsid w:val="67B929BB"/>
    <w:rsid w:val="685C7FB7"/>
    <w:rsid w:val="686B482C"/>
    <w:rsid w:val="687D3C28"/>
    <w:rsid w:val="688C217B"/>
    <w:rsid w:val="68ED6FEF"/>
    <w:rsid w:val="6AA21139"/>
    <w:rsid w:val="6B8401C5"/>
    <w:rsid w:val="6B9F6CC6"/>
    <w:rsid w:val="6BEF2683"/>
    <w:rsid w:val="6BFA214F"/>
    <w:rsid w:val="6CDE381E"/>
    <w:rsid w:val="6CF07C20"/>
    <w:rsid w:val="6CFE5C6F"/>
    <w:rsid w:val="6D024E59"/>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17526"/>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4784</Words>
  <Characters>4994</Characters>
  <Lines>0</Lines>
  <Paragraphs>0</Paragraphs>
  <TotalTime>4</TotalTime>
  <ScaleCrop>false</ScaleCrop>
  <LinksUpToDate>false</LinksUpToDate>
  <CharactersWithSpaces>5297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2026-02-02T01:34:09Z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5832079D52E746A9B77B570DBCD48FB1_13</vt:lpwstr>
  </property>
  <property fmtid="{D5CDD505-2E9C-101B-9397-08002B2CF9AE}" pid="4" name="KSOTemplateDocerSaveRecord">
    <vt:lpwstr>eyJoZGlkIjoiMDMwZGM3YTgwNjYzYTQ1M2VjNjE1YTdkNjhkNWNhODciLCJ1c2VySWQiOiIxMzg5MjExMjI0In0=</vt:lpwstr>
  </property>
</Properties>
</file>