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6694A91D">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关于许昌市胖东来时代广场生活服务圈公共停车及配套设施提升工程项目项下权益和收益价值评估服务机构的比选邀请函</w:t>
      </w:r>
    </w:p>
    <w:p w14:paraId="781A0D70">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AD7FD78">
      <w:pPr>
        <w:pStyle w:val="2"/>
        <w:numPr>
          <w:ilvl w:val="1"/>
          <w:numId w:val="0"/>
        </w:numPr>
        <w:rPr>
          <w:rFonts w:hint="eastAsia"/>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选方式选取一家评估机构对</w:t>
      </w:r>
      <w:r>
        <w:rPr>
          <w:rFonts w:hint="eastAsia" w:eastAsia="仿宋_GB2312"/>
          <w:sz w:val="32"/>
          <w:szCs w:val="32"/>
          <w:lang w:val="en-US" w:eastAsia="zh-CN"/>
        </w:rPr>
        <w:t>许昌市胖东来时代广场生活服务圈公共停车及配套设施提升工程</w:t>
      </w:r>
      <w:r>
        <w:rPr>
          <w:rFonts w:hint="eastAsia" w:ascii="Times New Roman" w:hAnsi="Times New Roman" w:eastAsia="仿宋_GB2312"/>
          <w:sz w:val="32"/>
          <w:szCs w:val="32"/>
          <w:lang w:val="en-US" w:eastAsia="zh-CN"/>
        </w:rPr>
        <w:t>项目</w:t>
      </w:r>
      <w:r>
        <w:rPr>
          <w:rFonts w:hint="eastAsia" w:eastAsia="仿宋_GB2312"/>
          <w:sz w:val="32"/>
          <w:szCs w:val="32"/>
          <w:lang w:val="en-US" w:eastAsia="zh-CN"/>
        </w:rPr>
        <w:t>项下权益和收益价值</w:t>
      </w:r>
      <w:r>
        <w:rPr>
          <w:rFonts w:hint="eastAsia" w:ascii="仿宋_GB2312" w:hAnsi="仿宋_GB2312" w:eastAsia="仿宋_GB2312" w:cs="仿宋_GB2312"/>
          <w:sz w:val="32"/>
          <w:szCs w:val="32"/>
          <w:lang w:val="en-US" w:eastAsia="zh-CN"/>
        </w:rPr>
        <w:t>进行评估并出具评估报告，</w:t>
      </w:r>
      <w:r>
        <w:rPr>
          <w:rFonts w:hint="eastAsia" w:ascii="仿宋_GB2312" w:hAnsi="仿宋_GB2312" w:eastAsia="仿宋_GB2312" w:cs="仿宋_GB2312"/>
          <w:color w:val="auto"/>
          <w:sz w:val="32"/>
          <w:szCs w:val="32"/>
          <w:lang w:val="en-US" w:eastAsia="zh-CN"/>
        </w:rPr>
        <w:t>现诚邀符合资格条件的公司参加。</w:t>
      </w:r>
    </w:p>
    <w:p w14:paraId="464921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许昌市胖东来时代广场生活服务圈公共停车及配套设施提升工程</w:t>
      </w:r>
      <w:r>
        <w:rPr>
          <w:rFonts w:hint="eastAsia" w:ascii="仿宋_GB2312" w:hAnsi="仿宋_GB2312" w:eastAsia="仿宋_GB2312" w:cs="仿宋_GB2312"/>
          <w:sz w:val="32"/>
          <w:szCs w:val="32"/>
          <w:lang w:val="en-US" w:eastAsia="zh-CN"/>
        </w:rPr>
        <w:t>项目项下权益和收益价值评估服务项目</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许昌建投交通发展有限公司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w:t>
      </w:r>
      <w:r>
        <w:rPr>
          <w:rFonts w:hint="eastAsia" w:ascii="仿宋_GB2312" w:hAnsi="仿宋_GB2312" w:eastAsia="仿宋_GB2312" w:cs="仿宋_GB2312"/>
          <w:sz w:val="32"/>
          <w:szCs w:val="32"/>
          <w:lang w:val="en-US" w:eastAsia="zh-CN"/>
        </w:rPr>
        <w:t>权益和收益评估报告</w:t>
      </w:r>
      <w:r>
        <w:rPr>
          <w:rFonts w:hint="eastAsia" w:ascii="仿宋_GB2312" w:hAnsi="仿宋_GB2312" w:eastAsia="仿宋_GB2312" w:cs="仿宋_GB2312"/>
          <w:color w:val="auto"/>
          <w:sz w:val="32"/>
          <w:szCs w:val="32"/>
          <w:lang w:val="en-US" w:eastAsia="zh-CN"/>
        </w:rPr>
        <w:t>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项目项下</w:t>
      </w:r>
      <w:r>
        <w:rPr>
          <w:rFonts w:hint="eastAsia" w:ascii="仿宋_GB2312" w:hAnsi="仿宋_GB2312" w:eastAsia="仿宋_GB2312" w:cs="仿宋_GB2312"/>
          <w:sz w:val="32"/>
          <w:szCs w:val="32"/>
          <w:lang w:val="en-US" w:eastAsia="zh-CN"/>
        </w:rPr>
        <w:t>权益和收益等涉及收入、成本、利润等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出具《评估报告》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3F51F9E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12458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375975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2.具备出具《评估报告》的成功经验；</w:t>
      </w:r>
    </w:p>
    <w:p w14:paraId="494732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C0CD1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05A6A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47A0FE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06417A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4CD58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2月6日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7F91869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5A9933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8665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26252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5B8C9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DC3C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评估服务机构</w:t>
      </w:r>
      <w:r>
        <w:rPr>
          <w:rFonts w:hint="eastAsia" w:ascii="仿宋_GB2312" w:hAnsi="仿宋_GB2312" w:eastAsia="仿宋_GB2312" w:cs="仿宋_GB2312"/>
          <w:color w:val="auto"/>
          <w:sz w:val="32"/>
          <w:szCs w:val="32"/>
        </w:rPr>
        <w:t>。</w:t>
      </w:r>
    </w:p>
    <w:p w14:paraId="723A09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203B42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lang w:val="en-US" w:eastAsia="zh-CN"/>
        </w:rPr>
        <w:t>10.79</w:t>
      </w:r>
      <w:r>
        <w:rPr>
          <w:rFonts w:hint="eastAsia" w:ascii="仿宋_GB2312" w:hAnsi="仿宋_GB2312" w:eastAsia="仿宋_GB2312" w:cs="仿宋_GB2312"/>
          <w:color w:val="auto"/>
          <w:sz w:val="32"/>
          <w:szCs w:val="32"/>
          <w:highlight w:val="none"/>
          <w:lang w:val="en-US" w:eastAsia="zh-CN"/>
        </w:rPr>
        <w:t>万元。</w:t>
      </w:r>
    </w:p>
    <w:p w14:paraId="56CBA1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285B16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7"/>
      <w:bookmarkEnd w:id="0"/>
      <w:bookmarkStart w:id="1" w:name="_Toc28359085"/>
      <w:bookmarkEnd w:id="1"/>
      <w:bookmarkStart w:id="2" w:name="_Toc28359008"/>
      <w:bookmarkEnd w:id="2"/>
      <w:bookmarkStart w:id="3" w:name="_Toc35393796"/>
      <w:bookmarkEnd w:id="3"/>
      <w:bookmarkStart w:id="4" w:name="_Toc35393795"/>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14:paraId="385B52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sz w:val="32"/>
          <w:szCs w:val="32"/>
          <w:lang w:val="en-US" w:eastAsia="zh-CN"/>
        </w:rPr>
        <w:t>许昌建投交通发展有限公司</w:t>
      </w:r>
    </w:p>
    <w:p w14:paraId="6F859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1E1045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45843C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2B6987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5C7D9F48">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A9615CA">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3D21E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1.在本次项目贷款银行权益质押过程中，配合“比选人”完成项目相关权益和收益有关数据审查整理工作。</w:t>
      </w:r>
    </w:p>
    <w:p w14:paraId="4FB7A3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2.根据项目贷款银行权益质押要求，对</w:t>
      </w:r>
      <w:r>
        <w:rPr>
          <w:rFonts w:hint="eastAsia" w:eastAsia="仿宋_GB2312"/>
          <w:sz w:val="32"/>
          <w:szCs w:val="32"/>
          <w:lang w:val="en-US" w:eastAsia="zh-CN"/>
        </w:rPr>
        <w:t>许昌市胖东来时代广场生活服务圈公共停车及配套设施提升工程项目</w:t>
      </w:r>
      <w:r>
        <w:rPr>
          <w:rFonts w:hint="eastAsia" w:ascii="仿宋_GB2312" w:hAnsi="仿宋_GB2312" w:eastAsia="仿宋_GB2312" w:cs="仿宋_GB2312"/>
          <w:sz w:val="32"/>
          <w:szCs w:val="32"/>
          <w:lang w:val="en-US" w:eastAsia="zh-CN"/>
        </w:rPr>
        <w:t>项下权益和收益进行价值评估并出具评估报告，保障项目贷款银行顺利完成相关权益质押及贷款资金的投放。</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77A6A1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确定为中标人起10日内出具符合金融机构要求的初版《评估报告》，不得以任何理由延迟交付。服务期限自中标结果公示之日起，到项目所有贷款银行完成项目相应比例权益质押登记并顺利投放贷款为止。</w:t>
      </w:r>
    </w:p>
    <w:p w14:paraId="429034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FEFF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4A32A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获得满足项目贷款银行质押要求的《评估报告》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lang w:val="en-US" w:eastAsia="zh-CN"/>
        </w:rPr>
        <w:t>10.79</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评估服务合同约定执行。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许昌市胖东来时代广场生活服务圈公共停车及配套设施提升工程项目项下权益和收益价值评估服务项目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根据工作需要，评估机构对许昌市胖东来时代广场生活服务圈公共停车及配套设施提升工程项目项下权益和收益等涉及收入、成本、利润等</w:t>
            </w:r>
            <w:r>
              <w:rPr>
                <w:rFonts w:hint="eastAsia" w:ascii="仿宋" w:hAnsi="仿宋" w:eastAsia="仿宋" w:cs="仿宋"/>
                <w:color w:val="auto"/>
                <w:sz w:val="24"/>
                <w:szCs w:val="24"/>
                <w:lang w:val="zh-CN" w:eastAsia="zh-CN"/>
              </w:rPr>
              <w:t>相关数据审查整理工作，</w:t>
            </w:r>
            <w:r>
              <w:rPr>
                <w:rFonts w:hint="eastAsia" w:ascii="仿宋" w:hAnsi="仿宋" w:eastAsia="仿宋" w:cs="仿宋"/>
                <w:color w:val="auto"/>
                <w:sz w:val="24"/>
                <w:szCs w:val="24"/>
                <w:lang w:val="en-US" w:eastAsia="zh-CN"/>
              </w:rPr>
              <w:t>出具《评估报告》，确保符合项目贷款银行质押要求。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02EE75">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5631274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5E84825D">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46DE024D">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2.具备出具《评估报告》的成功经验；</w:t>
            </w:r>
          </w:p>
          <w:p w14:paraId="54771655">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130903B3">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评估服务业务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10.79万元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20分</w:t>
            </w:r>
          </w:p>
        </w:tc>
        <w:tc>
          <w:tcPr>
            <w:tcW w:w="4004" w:type="dxa"/>
            <w:vAlign w:val="center"/>
          </w:tcPr>
          <w:p w14:paraId="783EC9B7">
            <w:pPr>
              <w:widowControl/>
              <w:spacing w:line="440" w:lineRule="exact"/>
              <w:jc w:val="left"/>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1.超过</w:t>
            </w:r>
            <w:r>
              <w:rPr>
                <w:rFonts w:hint="eastAsia" w:ascii="仿宋_GB2312" w:hAnsi="仿宋_GB2312" w:eastAsia="仿宋_GB2312" w:cs="仿宋_GB2312"/>
                <w:color w:val="auto"/>
                <w:sz w:val="32"/>
                <w:szCs w:val="32"/>
                <w:highlight w:val="none"/>
                <w:lang w:val="en-US" w:eastAsia="zh-CN"/>
              </w:rPr>
              <w:t>10.79</w:t>
            </w:r>
            <w:r>
              <w:rPr>
                <w:rFonts w:hint="eastAsia" w:asciiTheme="minorEastAsia" w:hAnsiTheme="minorEastAsia" w:eastAsiaTheme="minorEastAsia" w:cstheme="minorEastAsia"/>
                <w:color w:val="auto"/>
                <w:kern w:val="0"/>
                <w:sz w:val="28"/>
                <w:szCs w:val="28"/>
                <w:highlight w:val="none"/>
                <w:lang w:bidi="ar"/>
              </w:rPr>
              <w:t>万元为无效报价；</w:t>
            </w:r>
          </w:p>
          <w:p w14:paraId="7651E77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000000"/>
                <w:kern w:val="0"/>
                <w:sz w:val="28"/>
                <w:szCs w:val="28"/>
                <w:lang w:bidi="ar"/>
              </w:rPr>
              <w:t>2.</w:t>
            </w:r>
            <w:r>
              <w:rPr>
                <w:rFonts w:hint="eastAsia" w:asciiTheme="minorEastAsia" w:hAnsiTheme="minorEastAsia" w:eastAsiaTheme="minorEastAsia" w:cstheme="minorEastAsia"/>
                <w:color w:val="auto"/>
                <w:sz w:val="28"/>
                <w:szCs w:val="28"/>
                <w:highlight w:val="none"/>
                <w:lang w:val="en-US" w:eastAsia="zh-CN"/>
              </w:rPr>
              <w:t>所有参与的比选申请人报价的平均值作为基准报价；</w:t>
            </w:r>
          </w:p>
          <w:p w14:paraId="694B2E9C">
            <w:pPr>
              <w:widowControl/>
              <w:spacing w:line="440" w:lineRule="exact"/>
              <w:jc w:val="left"/>
              <w:textAlignment w:val="center"/>
              <w:rPr>
                <w:rFonts w:ascii="宋体" w:hAnsi="宋体" w:cs="宋体"/>
                <w:color w:val="auto"/>
                <w:sz w:val="28"/>
                <w:szCs w:val="28"/>
              </w:rPr>
            </w:pPr>
            <w:r>
              <w:rPr>
                <w:rFonts w:hint="eastAsia" w:asciiTheme="minorEastAsia" w:hAnsiTheme="minorEastAsia" w:eastAsiaTheme="minorEastAsia" w:cstheme="minorEastAsia"/>
                <w:color w:val="auto"/>
                <w:sz w:val="28"/>
                <w:szCs w:val="28"/>
                <w:highlight w:val="none"/>
                <w:lang w:val="en-US" w:eastAsia="zh-CN"/>
              </w:rPr>
              <w:t>3.报价得分=（1-∣选聘基准价-评估费用报价∣/选聘基准价）×20分。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服务本次评估业务的评估服务团队成员至少2名，1人不得分，2人及以上每有1名资产评估师的得5分，最高20分。</w:t>
            </w:r>
            <w:r>
              <w:rPr>
                <w:rFonts w:hint="default" w:ascii="Times New Roman" w:hAnsi="Times New Roman" w:cs="Times New Roman"/>
                <w:color w:val="auto"/>
                <w:sz w:val="24"/>
                <w:szCs w:val="24"/>
                <w:lang w:val="en-US" w:eastAsia="zh-CN"/>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40分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评估</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2、服务方案详细、完好、全面，评估中涉及与金融机构、咨询机构、财务等协调沟通</w:t>
            </w:r>
            <w:r>
              <w:rPr>
                <w:rFonts w:hint="default" w:ascii="Times New Roman" w:hAnsi="Times New Roman" w:cs="Times New Roman"/>
                <w:color w:val="000000"/>
                <w:kern w:val="0"/>
                <w:sz w:val="28"/>
                <w:szCs w:val="28"/>
                <w:highlight w:val="none"/>
                <w:lang w:val="en-US" w:eastAsia="zh-CN" w:bidi="ar"/>
              </w:rPr>
              <w:t>有关内容、困难问题和解决方案等要素</w:t>
            </w:r>
            <w:r>
              <w:rPr>
                <w:rFonts w:hint="eastAsia" w:ascii="宋体" w:hAnsi="宋体" w:cs="宋体"/>
                <w:color w:val="000000"/>
                <w:kern w:val="0"/>
                <w:sz w:val="28"/>
                <w:szCs w:val="28"/>
                <w:highlight w:val="none"/>
                <w:lang w:val="en-US" w:eastAsia="zh-CN" w:bidi="ar"/>
              </w:rPr>
              <w:t>，方案和举措优秀的</w:t>
            </w:r>
            <w:r>
              <w:rPr>
                <w:rFonts w:hint="default" w:ascii="Times New Roman" w:hAnsi="Times New Roman" w:cs="Times New Roman"/>
                <w:color w:val="000000"/>
                <w:kern w:val="0"/>
                <w:sz w:val="28"/>
                <w:szCs w:val="28"/>
                <w:highlight w:val="none"/>
                <w:lang w:val="en-US" w:eastAsia="zh-CN" w:bidi="ar"/>
              </w:rPr>
              <w:t>得1</w:t>
            </w:r>
            <w:r>
              <w:rPr>
                <w:rFonts w:hint="eastAsia" w:cs="Times New Roman"/>
                <w:color w:val="000000"/>
                <w:kern w:val="0"/>
                <w:sz w:val="28"/>
                <w:szCs w:val="28"/>
                <w:highlight w:val="none"/>
                <w:lang w:val="en-US" w:eastAsia="zh-CN" w:bidi="ar"/>
              </w:rPr>
              <w:t>1</w:t>
            </w:r>
            <w:r>
              <w:rPr>
                <w:rFonts w:hint="default" w:ascii="Times New Roman" w:hAnsi="Times New Roman" w:cs="Times New Roman"/>
                <w:color w:val="000000"/>
                <w:kern w:val="0"/>
                <w:sz w:val="28"/>
                <w:szCs w:val="28"/>
                <w:highlight w:val="none"/>
                <w:lang w:val="en-US" w:eastAsia="zh-CN" w:bidi="ar"/>
              </w:rPr>
              <w:t>—2</w:t>
            </w:r>
            <w:r>
              <w:rPr>
                <w:rFonts w:hint="eastAsia" w:cs="Times New Roman"/>
                <w:color w:val="000000"/>
                <w:kern w:val="0"/>
                <w:sz w:val="28"/>
                <w:szCs w:val="28"/>
                <w:highlight w:val="none"/>
                <w:lang w:val="en-US" w:eastAsia="zh-CN" w:bidi="ar"/>
              </w:rPr>
              <w:t>5</w:t>
            </w:r>
            <w:r>
              <w:rPr>
                <w:rFonts w:hint="default" w:ascii="Times New Roman" w:hAnsi="Times New Roman" w:cs="Times New Roman"/>
                <w:color w:val="000000"/>
                <w:kern w:val="0"/>
                <w:sz w:val="28"/>
                <w:szCs w:val="28"/>
                <w:highlight w:val="none"/>
                <w:lang w:val="en-US" w:eastAsia="zh-CN" w:bidi="ar"/>
              </w:rPr>
              <w:t>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D2EEF2F">
            <w:pPr>
              <w:tabs>
                <w:tab w:val="left" w:pos="622"/>
              </w:tabs>
              <w:spacing w:line="240" w:lineRule="auto"/>
              <w:jc w:val="left"/>
              <w:rPr>
                <w:rFonts w:hint="eastAsia"/>
                <w:lang w:val="en-US" w:eastAsia="zh-CN"/>
              </w:rPr>
            </w:pPr>
            <w:r>
              <w:rPr>
                <w:rFonts w:hint="eastAsia" w:ascii="宋体" w:hAnsi="宋体" w:eastAsia="宋体" w:cs="Times New Roman"/>
                <w:color w:val="auto"/>
                <w:sz w:val="28"/>
                <w:szCs w:val="28"/>
                <w:lang w:val="en-US" w:eastAsia="zh-CN"/>
              </w:rPr>
              <w:t>每提供一份近三年（即2023年1月1日起）取得的相关收益和权益类项目评估服务证明材料</w:t>
            </w:r>
            <w:r>
              <w:rPr>
                <w:rFonts w:hint="eastAsia" w:ascii="宋体" w:hAnsi="宋体"/>
                <w:color w:val="auto"/>
                <w:sz w:val="28"/>
                <w:szCs w:val="28"/>
                <w:lang w:val="en-US" w:eastAsia="zh-CN"/>
              </w:rPr>
              <w:t>（服务合同或成果文件）</w:t>
            </w:r>
            <w:r>
              <w:rPr>
                <w:rFonts w:hint="eastAsia" w:ascii="宋体" w:hAnsi="宋体" w:eastAsia="宋体" w:cs="Times New Roman"/>
                <w:color w:val="auto"/>
                <w:sz w:val="28"/>
                <w:szCs w:val="28"/>
                <w:lang w:val="en-US" w:eastAsia="zh-CN"/>
              </w:rPr>
              <w:t>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1046C92">
      <w:pPr>
        <w:spacing w:line="560" w:lineRule="exact"/>
        <w:jc w:val="center"/>
        <w:rPr>
          <w:rFonts w:hint="default"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关于许昌市胖东来时代广场生活服务圈公共停车及配套设施提升工程项目项下权益和收益价值评估服务机构的比选邀请函</w:t>
      </w:r>
    </w:p>
    <w:p w14:paraId="2939CA19">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3"/>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2"/>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评估业务证明材料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2"/>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附营业执照等（或评估机构执业许可材料）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评估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5.3评估服务业绩证明材料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FE9F22D-26B0-494A-8687-F043D5DD79C6}"/>
  </w:font>
  <w:font w:name="仿宋">
    <w:panose1 w:val="02010609060101010101"/>
    <w:charset w:val="86"/>
    <w:family w:val="auto"/>
    <w:pitch w:val="default"/>
    <w:sig w:usb0="800002BF" w:usb1="38CF7CFA" w:usb2="00000016" w:usb3="00000000" w:csb0="00040001" w:csb1="00000000"/>
    <w:embedRegular r:id="rId2" w:fontKey="{D854ADBA-83EF-458F-982D-F01BC0EC9E4C}"/>
  </w:font>
  <w:font w:name="仿宋_GB2312">
    <w:panose1 w:val="02010609030101010101"/>
    <w:charset w:val="86"/>
    <w:family w:val="auto"/>
    <w:pitch w:val="default"/>
    <w:sig w:usb0="00000001" w:usb1="080E0000" w:usb2="00000000" w:usb3="00000000" w:csb0="00040000" w:csb1="00000000"/>
    <w:embedRegular r:id="rId3" w:fontKey="{FE24E7A1-F12E-47B5-BC9F-0DBF649D11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A7647D"/>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8D361B1"/>
    <w:rsid w:val="0920266F"/>
    <w:rsid w:val="09413E70"/>
    <w:rsid w:val="0949606C"/>
    <w:rsid w:val="095664BF"/>
    <w:rsid w:val="09DE0417"/>
    <w:rsid w:val="0A454A85"/>
    <w:rsid w:val="0AE13C65"/>
    <w:rsid w:val="0AF73FD1"/>
    <w:rsid w:val="0B5940BE"/>
    <w:rsid w:val="0C3A33FD"/>
    <w:rsid w:val="0D2766C4"/>
    <w:rsid w:val="0D5D5C42"/>
    <w:rsid w:val="0DF93BBD"/>
    <w:rsid w:val="0E0C126B"/>
    <w:rsid w:val="0E3C1CFB"/>
    <w:rsid w:val="0E6757EE"/>
    <w:rsid w:val="0EA06CB7"/>
    <w:rsid w:val="0EBD108E"/>
    <w:rsid w:val="0F004A9B"/>
    <w:rsid w:val="0F27553F"/>
    <w:rsid w:val="0F791428"/>
    <w:rsid w:val="1034136D"/>
    <w:rsid w:val="106B4B1A"/>
    <w:rsid w:val="110E640B"/>
    <w:rsid w:val="114E00FC"/>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8E3544F"/>
    <w:rsid w:val="19BF6E53"/>
    <w:rsid w:val="19D84FCE"/>
    <w:rsid w:val="19D918FD"/>
    <w:rsid w:val="1A1139B6"/>
    <w:rsid w:val="1B161797"/>
    <w:rsid w:val="1C7272F1"/>
    <w:rsid w:val="1C840373"/>
    <w:rsid w:val="1E796654"/>
    <w:rsid w:val="1EB84FB4"/>
    <w:rsid w:val="1ED90DA1"/>
    <w:rsid w:val="1EF15F8C"/>
    <w:rsid w:val="1F737547"/>
    <w:rsid w:val="1FCB70A4"/>
    <w:rsid w:val="20713A86"/>
    <w:rsid w:val="20B816B5"/>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666570F"/>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867FA3"/>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1A70B4"/>
    <w:rsid w:val="3E5F540E"/>
    <w:rsid w:val="404F2B3D"/>
    <w:rsid w:val="409E1FAE"/>
    <w:rsid w:val="409F25A6"/>
    <w:rsid w:val="40C1068E"/>
    <w:rsid w:val="40EB5E2E"/>
    <w:rsid w:val="4114428E"/>
    <w:rsid w:val="41686577"/>
    <w:rsid w:val="41B55B4E"/>
    <w:rsid w:val="41CC15E7"/>
    <w:rsid w:val="41CE016A"/>
    <w:rsid w:val="424C5BA2"/>
    <w:rsid w:val="427C033D"/>
    <w:rsid w:val="4286412E"/>
    <w:rsid w:val="42A3719F"/>
    <w:rsid w:val="42F80DB2"/>
    <w:rsid w:val="43DB72E5"/>
    <w:rsid w:val="43F81C45"/>
    <w:rsid w:val="4431250F"/>
    <w:rsid w:val="44396802"/>
    <w:rsid w:val="444F192C"/>
    <w:rsid w:val="445F479F"/>
    <w:rsid w:val="449C4CC6"/>
    <w:rsid w:val="44E26451"/>
    <w:rsid w:val="44FC06F4"/>
    <w:rsid w:val="4516025A"/>
    <w:rsid w:val="452426DB"/>
    <w:rsid w:val="45282B95"/>
    <w:rsid w:val="45440D98"/>
    <w:rsid w:val="458435F4"/>
    <w:rsid w:val="45C5024D"/>
    <w:rsid w:val="45C937D0"/>
    <w:rsid w:val="46BE746F"/>
    <w:rsid w:val="46CD1440"/>
    <w:rsid w:val="46F05143"/>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4F6AC2"/>
    <w:rsid w:val="4C6753F2"/>
    <w:rsid w:val="4CD53C0E"/>
    <w:rsid w:val="4D325232"/>
    <w:rsid w:val="4D666E75"/>
    <w:rsid w:val="4D814A59"/>
    <w:rsid w:val="4D926C66"/>
    <w:rsid w:val="4DC82688"/>
    <w:rsid w:val="4DE2074E"/>
    <w:rsid w:val="4DF80C26"/>
    <w:rsid w:val="4E994B9F"/>
    <w:rsid w:val="4F625BA7"/>
    <w:rsid w:val="4F701229"/>
    <w:rsid w:val="4F7D3946"/>
    <w:rsid w:val="4FF63304"/>
    <w:rsid w:val="50447F7A"/>
    <w:rsid w:val="510A1419"/>
    <w:rsid w:val="51583D23"/>
    <w:rsid w:val="51AB02C4"/>
    <w:rsid w:val="51B3364F"/>
    <w:rsid w:val="51D3784E"/>
    <w:rsid w:val="52132340"/>
    <w:rsid w:val="52360357"/>
    <w:rsid w:val="52AD7609"/>
    <w:rsid w:val="52CD24EF"/>
    <w:rsid w:val="534C78B7"/>
    <w:rsid w:val="535B4E77"/>
    <w:rsid w:val="53762B86"/>
    <w:rsid w:val="55144E68"/>
    <w:rsid w:val="552C446C"/>
    <w:rsid w:val="5552317F"/>
    <w:rsid w:val="55820BFC"/>
    <w:rsid w:val="56312D95"/>
    <w:rsid w:val="56CE3AA9"/>
    <w:rsid w:val="56FC732B"/>
    <w:rsid w:val="570F4E24"/>
    <w:rsid w:val="57376C93"/>
    <w:rsid w:val="576522C3"/>
    <w:rsid w:val="57BA4624"/>
    <w:rsid w:val="57BF3FA4"/>
    <w:rsid w:val="58555460"/>
    <w:rsid w:val="59DD395F"/>
    <w:rsid w:val="59E21101"/>
    <w:rsid w:val="59FE29BC"/>
    <w:rsid w:val="5AB126F6"/>
    <w:rsid w:val="5AE96334"/>
    <w:rsid w:val="5B953DC6"/>
    <w:rsid w:val="5C07180B"/>
    <w:rsid w:val="5CAB6A20"/>
    <w:rsid w:val="5D1C02FB"/>
    <w:rsid w:val="5E2C6C63"/>
    <w:rsid w:val="5EE83DA2"/>
    <w:rsid w:val="5FE46C8E"/>
    <w:rsid w:val="5FEF5A95"/>
    <w:rsid w:val="60372166"/>
    <w:rsid w:val="608E4C5E"/>
    <w:rsid w:val="60C44F62"/>
    <w:rsid w:val="60D54EE6"/>
    <w:rsid w:val="60D55390"/>
    <w:rsid w:val="60F17CF0"/>
    <w:rsid w:val="612031E2"/>
    <w:rsid w:val="61946FF9"/>
    <w:rsid w:val="62EE098B"/>
    <w:rsid w:val="6400781B"/>
    <w:rsid w:val="648A3373"/>
    <w:rsid w:val="65031DA0"/>
    <w:rsid w:val="655F791E"/>
    <w:rsid w:val="65BB5819"/>
    <w:rsid w:val="661701F9"/>
    <w:rsid w:val="66984259"/>
    <w:rsid w:val="677A27ED"/>
    <w:rsid w:val="6785255B"/>
    <w:rsid w:val="67B929BB"/>
    <w:rsid w:val="685C7FB7"/>
    <w:rsid w:val="686B482C"/>
    <w:rsid w:val="687D3C28"/>
    <w:rsid w:val="688C217B"/>
    <w:rsid w:val="68ED6FEF"/>
    <w:rsid w:val="6AA21139"/>
    <w:rsid w:val="6B8401C5"/>
    <w:rsid w:val="6B9F6CC6"/>
    <w:rsid w:val="6BFA214F"/>
    <w:rsid w:val="6CDE381E"/>
    <w:rsid w:val="6CF07C20"/>
    <w:rsid w:val="6CFE5C6F"/>
    <w:rsid w:val="6D024E59"/>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17526"/>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C620DF9"/>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4791</Words>
  <Characters>5001</Characters>
  <Lines>0</Lines>
  <Paragraphs>0</Paragraphs>
  <TotalTime>3</TotalTime>
  <ScaleCrop>false</ScaleCrop>
  <LinksUpToDate>false</LinksUpToDate>
  <CharactersWithSpaces>5304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2026-02-02T01:39:06Z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3810F06433C94A6BAD9A10D726539483_13</vt:lpwstr>
  </property>
  <property fmtid="{D5CDD505-2E9C-101B-9397-08002B2CF9AE}" pid="4" name="KSOTemplateDocerSaveRecord">
    <vt:lpwstr>eyJoZGlkIjoiOThmZjEwYzc0ZWY0ZTI5ZTI4YjE1MjBkNmY1M2ZiNzkiLCJ1c2VySWQiOiI4NjU1Nzg4MTMifQ==</vt:lpwstr>
  </property>
</Properties>
</file>