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许昌市魏都区智能截流井项目招标代理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2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413" w:type="dxa"/>
            <w:noWrap w:val="0"/>
            <w:vAlign w:val="center"/>
          </w:tcPr>
          <w:p w14:paraId="1D2EC4BB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11955185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7286" w:type="dxa"/>
            <w:noWrap w:val="0"/>
            <w:vAlign w:val="center"/>
          </w:tcPr>
          <w:p w14:paraId="3C3CC29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AD4243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管理机构：20 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F5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F30861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F8ED"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1872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pict>
                <v:shape id="_x0000_s1026" o:spid="_x0000_s1026" o:spt="75" type="#_x0000_t75" style="position:absolute;left:0pt;margin-left:21pt;margin-top:2.3pt;height:36pt;width:229.95pt;mso-wrap-distance-bottom:0pt;mso-wrap-distance-left:9pt;mso-wrap-distance-right:9pt;mso-wrap-distance-top:0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square"/>
                </v:shape>
                <o:OLEObject Type="Embed" ProgID="Equation.KSEE3" ShapeID="_x0000_s1026" DrawAspect="Content" ObjectID="_1468075725" r:id="rId4">
                  <o:LockedField>false</o:LockedField>
                </o:OLEObject>
              </w:pic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724CC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404815E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阐述招标采购代理各阶段的工作内容、工作重点、工作方法和工作流程（0-10分）</w:t>
            </w:r>
          </w:p>
          <w:p w14:paraId="73F1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阐述招标采购过程中的风险防控及相应预案（0-10分）</w:t>
            </w:r>
          </w:p>
          <w:p w14:paraId="0ACA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保密措施及档案管理制度（0-5分）</w:t>
            </w:r>
          </w:p>
          <w:p w14:paraId="189B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服务承诺（0-5分）</w:t>
            </w:r>
          </w:p>
          <w:p w14:paraId="58A7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7A43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  <w:p w14:paraId="28942896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F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自2023年1月1日起承接过工程类招标代理服务的，每项得5分，本项最高得20分。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（需提供中标公告网页截图、中标通知书、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招标代理合同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，申请文件中附复印件并加盖公章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，时间以招标代理合同签订时间为准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5669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12EB4F28">
            <w:pPr>
              <w:widowControl/>
              <w:adjustRightInd w:val="0"/>
              <w:snapToGrid w:val="0"/>
              <w:spacing w:line="276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组人员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工程类、经济类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以上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职称得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/人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本项最高得20分。</w:t>
            </w:r>
          </w:p>
          <w:p w14:paraId="7E5A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（需提劳动合同等证明材料及证书复印件）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A2F4A2B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8F7749B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3F982CA2"/>
    <w:rsid w:val="3FA767CB"/>
    <w:rsid w:val="44E374C0"/>
    <w:rsid w:val="456C320E"/>
    <w:rsid w:val="4BA85D5E"/>
    <w:rsid w:val="5201141C"/>
    <w:rsid w:val="52441102"/>
    <w:rsid w:val="56536FF3"/>
    <w:rsid w:val="5ED658B5"/>
    <w:rsid w:val="5F7206A6"/>
    <w:rsid w:val="64B82739"/>
    <w:rsid w:val="67B83DFF"/>
    <w:rsid w:val="6A7A2B04"/>
    <w:rsid w:val="6C2E449C"/>
    <w:rsid w:val="700C1760"/>
    <w:rsid w:val="734C09AA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1007</Words>
  <Characters>1040</Characters>
  <Lines>0</Lines>
  <Paragraphs>0</Paragraphs>
  <TotalTime>1</TotalTime>
  <ScaleCrop>false</ScaleCrop>
  <LinksUpToDate>false</LinksUpToDate>
  <CharactersWithSpaces>1074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2024-07-31T07:49:00Z</cp:lastPrinted>
  <dcterms:modified xsi:type="dcterms:W3CDTF">2026-01-21T08:34:07Z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1467887576394C4587B8DC1282B5371A_13</vt:lpwstr>
  </property>
  <property fmtid="{D5CDD505-2E9C-101B-9397-08002B2CF9AE}" pid="4" name="KSOTemplateDocerSaveRecord">
    <vt:lpwstr>eyJoZGlkIjoiZTEyNWQ3YzgzNDQ2MWYxMjVmYTk4MzMzOWZhNjVlNjIiLCJ1c2VySWQiOiIyMzM4OTQ3MjYifQ==</vt:lpwstr>
  </property>
</Properties>
</file>