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46E40">
      <w:pPr>
        <w:widowControl/>
        <w:jc w:val="left"/>
        <w:rPr>
          <w:rFonts w:ascii="黑体" w:hAnsi="黑体" w:eastAsia="黑体" w:cs="仿宋"/>
          <w:sz w:val="32"/>
          <w:szCs w:val="32"/>
        </w:rPr>
      </w:pPr>
      <w:bookmarkStart w:id="0" w:name="_GoBack"/>
      <w:bookmarkEnd w:id="0"/>
      <w:r>
        <w:rPr>
          <w:rFonts w:hint="eastAsia" w:ascii="黑体" w:hAnsi="黑体" w:eastAsia="黑体" w:cs="仿宋"/>
          <w:sz w:val="32"/>
          <w:szCs w:val="32"/>
        </w:rPr>
        <w:t>附件1</w:t>
      </w:r>
    </w:p>
    <w:p w14:paraId="45BF04B7">
      <w:pPr>
        <w:spacing w:line="560" w:lineRule="exact"/>
        <w:rPr>
          <w:rFonts w:ascii="FangSong_GB2312" w:hAnsi="仿宋" w:eastAsia="FangSong_GB2312" w:cs="仿宋"/>
          <w:b/>
          <w:sz w:val="36"/>
          <w:szCs w:val="36"/>
        </w:rPr>
      </w:pPr>
    </w:p>
    <w:p w14:paraId="29B9D53C">
      <w:pPr>
        <w:spacing w:line="560" w:lineRule="exact"/>
        <w:jc w:val="center"/>
        <w:rPr>
          <w:rFonts w:ascii="FangSong_GB2312" w:hAnsi="仿宋" w:eastAsia="FangSong_GB2312" w:cs="仿宋"/>
          <w:b/>
          <w:sz w:val="36"/>
          <w:szCs w:val="36"/>
        </w:rPr>
      </w:pPr>
      <w:r>
        <w:rPr>
          <w:rFonts w:hint="eastAsia" w:ascii="FangSong_GB2312" w:hAnsi="仿宋" w:eastAsia="FangSong_GB2312" w:cs="仿宋"/>
          <w:b/>
          <w:sz w:val="36"/>
          <w:szCs w:val="36"/>
        </w:rPr>
        <w:t>报价单</w:t>
      </w:r>
    </w:p>
    <w:p w14:paraId="09936803">
      <w:pPr>
        <w:spacing w:line="560" w:lineRule="exact"/>
        <w:jc w:val="center"/>
        <w:rPr>
          <w:rFonts w:ascii="FangSong_GB2312" w:hAnsi="仿宋" w:eastAsia="FangSong_GB2312" w:cs="仿宋"/>
          <w:b/>
          <w:sz w:val="32"/>
          <w:szCs w:val="32"/>
        </w:rPr>
      </w:pPr>
    </w:p>
    <w:tbl>
      <w:tblPr>
        <w:tblStyle w:val="8"/>
        <w:tblW w:w="8683" w:type="dxa"/>
        <w:tblInd w:w="0" w:type="dxa"/>
        <w:tblLayout w:type="fixed"/>
        <w:tblCellMar>
          <w:top w:w="15" w:type="dxa"/>
          <w:left w:w="15" w:type="dxa"/>
          <w:bottom w:w="15" w:type="dxa"/>
          <w:right w:w="15" w:type="dxa"/>
        </w:tblCellMar>
      </w:tblPr>
      <w:tblGrid>
        <w:gridCol w:w="3134"/>
        <w:gridCol w:w="5549"/>
      </w:tblGrid>
      <w:tr w14:paraId="375E7E41">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79F7C6DD">
            <w:pPr>
              <w:widowControl/>
              <w:spacing w:line="560" w:lineRule="exact"/>
              <w:jc w:val="center"/>
              <w:textAlignment w:val="center"/>
              <w:rPr>
                <w:rFonts w:ascii="FangSong_GB2312" w:hAnsi="宋体" w:eastAsia="FangSong_GB2312" w:cs="FangSong_GB2312"/>
                <w:b/>
                <w:color w:val="000000"/>
                <w:sz w:val="32"/>
                <w:szCs w:val="32"/>
              </w:rPr>
            </w:pPr>
            <w:r>
              <w:rPr>
                <w:rFonts w:hint="eastAsia" w:ascii="FangSong_GB2312" w:hAnsi="宋体" w:eastAsia="FangSong_GB2312" w:cs="FangSong_GB2312"/>
                <w:b/>
                <w:color w:val="000000"/>
                <w:kern w:val="0"/>
                <w:sz w:val="32"/>
                <w:szCs w:val="32"/>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1903ADA8">
            <w:pPr>
              <w:widowControl/>
              <w:spacing w:line="560" w:lineRule="exact"/>
              <w:jc w:val="center"/>
              <w:textAlignment w:val="center"/>
              <w:rPr>
                <w:rFonts w:hint="eastAsia" w:ascii="方正仿宋_GB18030" w:hAnsi="方正仿宋_GB18030" w:eastAsia="方正仿宋_GB18030" w:cs="方正仿宋_GB18030"/>
                <w:color w:val="000000"/>
                <w:sz w:val="32"/>
                <w:szCs w:val="32"/>
                <w:lang w:val="en-US" w:eastAsia="zh-CN"/>
              </w:rPr>
            </w:pPr>
            <w:r>
              <w:rPr>
                <w:rFonts w:hint="eastAsia" w:ascii="方正仿宋_GB18030" w:hAnsi="方正仿宋_GB18030" w:eastAsia="方正仿宋_GB18030" w:cs="方正仿宋_GB18030"/>
                <w:color w:val="000000"/>
                <w:sz w:val="32"/>
                <w:szCs w:val="32"/>
                <w:lang w:val="en-US" w:eastAsia="zh-CN"/>
              </w:rPr>
              <w:t>许昌市高铁东站地下停车场照明系统</w:t>
            </w:r>
          </w:p>
          <w:p w14:paraId="2416C169">
            <w:pPr>
              <w:widowControl/>
              <w:spacing w:line="560" w:lineRule="exact"/>
              <w:jc w:val="center"/>
              <w:textAlignment w:val="center"/>
              <w:rPr>
                <w:rFonts w:hint="default" w:ascii="FangSong_GB2312" w:hAnsi="宋体" w:eastAsia="FangSong_GB2312" w:cs="FangSong_GB2312"/>
                <w:b/>
                <w:color w:val="000000"/>
                <w:sz w:val="32"/>
                <w:szCs w:val="32"/>
                <w:lang w:val="en-US"/>
              </w:rPr>
            </w:pPr>
            <w:r>
              <w:rPr>
                <w:rFonts w:hint="eastAsia" w:ascii="方正仿宋_GB18030" w:hAnsi="方正仿宋_GB18030" w:eastAsia="方正仿宋_GB18030" w:cs="方正仿宋_GB18030"/>
                <w:color w:val="000000"/>
                <w:sz w:val="32"/>
                <w:szCs w:val="32"/>
                <w:lang w:val="en-US" w:eastAsia="zh-CN"/>
              </w:rPr>
              <w:t>升级改造项目</w:t>
            </w:r>
          </w:p>
        </w:tc>
      </w:tr>
      <w:tr w14:paraId="01FB5E8A">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0AF56BAF">
            <w:pPr>
              <w:widowControl/>
              <w:spacing w:line="560" w:lineRule="exact"/>
              <w:jc w:val="center"/>
              <w:textAlignment w:val="center"/>
              <w:rPr>
                <w:rFonts w:ascii="FangSong_GB2312" w:hAnsi="宋体" w:eastAsia="FangSong_GB2312" w:cs="FangSong_GB2312"/>
                <w:b/>
                <w:color w:val="000000"/>
                <w:sz w:val="32"/>
                <w:szCs w:val="32"/>
              </w:rPr>
            </w:pPr>
            <w:r>
              <w:rPr>
                <w:rFonts w:hint="eastAsia" w:ascii="FangSong_GB2312" w:hAnsi="宋体" w:eastAsia="FangSong_GB2312" w:cs="FangSong_GB2312"/>
                <w:b/>
                <w:color w:val="000000"/>
                <w:kern w:val="0"/>
                <w:sz w:val="32"/>
                <w:szCs w:val="32"/>
              </w:rPr>
              <w:t>比选申请人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063C4582">
            <w:pPr>
              <w:widowControl/>
              <w:spacing w:line="560" w:lineRule="exact"/>
              <w:jc w:val="center"/>
              <w:textAlignment w:val="center"/>
              <w:rPr>
                <w:rFonts w:ascii="FangSong_GB2312" w:hAnsi="宋体" w:eastAsia="FangSong_GB2312" w:cs="FangSong_GB2312"/>
                <w:b/>
                <w:color w:val="000000"/>
                <w:sz w:val="32"/>
                <w:szCs w:val="32"/>
              </w:rPr>
            </w:pPr>
          </w:p>
        </w:tc>
      </w:tr>
      <w:tr w14:paraId="1C4C832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15838383">
            <w:pPr>
              <w:widowControl/>
              <w:spacing w:line="560" w:lineRule="exact"/>
              <w:jc w:val="center"/>
              <w:textAlignment w:val="center"/>
              <w:rPr>
                <w:rFonts w:hint="default" w:ascii="FangSong_GB2312" w:hAnsi="宋体" w:eastAsia="FangSong_GB2312" w:cs="FangSong_GB2312"/>
                <w:b/>
                <w:color w:val="C00000"/>
                <w:kern w:val="0"/>
                <w:sz w:val="32"/>
                <w:szCs w:val="32"/>
                <w:lang w:val="en-US" w:eastAsia="zh-CN"/>
              </w:rPr>
            </w:pPr>
            <w:r>
              <w:rPr>
                <w:rFonts w:hint="eastAsia" w:ascii="FangSong_GB2312" w:hAnsi="宋体" w:eastAsia="FangSong_GB2312" w:cs="FangSong_GB2312"/>
                <w:b/>
                <w:color w:val="000000" w:themeColor="text1"/>
                <w:kern w:val="0"/>
                <w:sz w:val="32"/>
                <w:szCs w:val="32"/>
                <w:lang w:val="en-US" w:eastAsia="zh-CN"/>
                <w14:textFill>
                  <w14:solidFill>
                    <w14:schemeClr w14:val="tx1"/>
                  </w14:solidFill>
                </w14:textFill>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204EF19C">
            <w:pPr>
              <w:widowControl/>
              <w:spacing w:line="560" w:lineRule="exact"/>
              <w:jc w:val="center"/>
              <w:textAlignment w:val="center"/>
              <w:rPr>
                <w:rFonts w:ascii="FangSong_GB2312" w:hAnsi="宋体" w:eastAsia="FangSong_GB2312" w:cs="FangSong_GB2312"/>
                <w:b/>
                <w:color w:val="C00000"/>
                <w:sz w:val="32"/>
                <w:szCs w:val="32"/>
              </w:rPr>
            </w:pPr>
          </w:p>
        </w:tc>
      </w:tr>
      <w:tr w14:paraId="110C94A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2084C7F9">
            <w:pPr>
              <w:widowControl/>
              <w:spacing w:line="560" w:lineRule="exact"/>
              <w:jc w:val="center"/>
              <w:textAlignment w:val="center"/>
              <w:rPr>
                <w:rFonts w:ascii="FangSong_GB2312" w:hAnsi="宋体" w:eastAsia="FangSong_GB2312" w:cs="FangSong_GB2312"/>
                <w:b/>
                <w:color w:val="000000"/>
                <w:kern w:val="0"/>
                <w:sz w:val="32"/>
                <w:szCs w:val="32"/>
              </w:rPr>
            </w:pPr>
            <w:r>
              <w:rPr>
                <w:rFonts w:hint="eastAsia" w:ascii="FangSong_GB2312" w:hAnsi="宋体" w:eastAsia="FangSong_GB2312" w:cs="FangSong_GB2312"/>
                <w:b/>
                <w:color w:val="000000"/>
                <w:kern w:val="0"/>
                <w:sz w:val="32"/>
                <w:szCs w:val="32"/>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54BC8517">
            <w:pPr>
              <w:widowControl/>
              <w:spacing w:line="560" w:lineRule="exact"/>
              <w:jc w:val="center"/>
              <w:textAlignment w:val="center"/>
              <w:rPr>
                <w:rFonts w:hint="eastAsia" w:ascii="FangSong_GB2312" w:hAnsi="宋体" w:eastAsia="FangSong_GB2312" w:cs="FangSong_GB2312"/>
                <w:b/>
                <w:color w:val="000000"/>
                <w:sz w:val="32"/>
                <w:szCs w:val="32"/>
                <w:lang w:val="en-US" w:eastAsia="zh-CN"/>
              </w:rPr>
            </w:pPr>
          </w:p>
        </w:tc>
      </w:tr>
      <w:tr w14:paraId="49EFF567">
        <w:tblPrEx>
          <w:tblCellMar>
            <w:top w:w="15" w:type="dxa"/>
            <w:left w:w="15" w:type="dxa"/>
            <w:bottom w:w="15" w:type="dxa"/>
            <w:right w:w="15" w:type="dxa"/>
          </w:tblCellMar>
        </w:tblPrEx>
        <w:trPr>
          <w:trHeight w:val="172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00E8DCAB">
            <w:pPr>
              <w:widowControl/>
              <w:spacing w:line="560" w:lineRule="exact"/>
              <w:jc w:val="center"/>
              <w:textAlignment w:val="center"/>
              <w:rPr>
                <w:rFonts w:hint="eastAsia" w:ascii="FangSong_GB2312" w:hAnsi="宋体" w:eastAsia="FangSong_GB2312" w:cs="FangSong_GB2312"/>
                <w:b/>
                <w:color w:val="000000"/>
                <w:kern w:val="0"/>
                <w:sz w:val="32"/>
                <w:szCs w:val="32"/>
              </w:rPr>
            </w:pPr>
            <w:r>
              <w:rPr>
                <w:rFonts w:hint="eastAsia" w:ascii="FangSong_GB2312" w:hAnsi="宋体" w:eastAsia="FangSong_GB2312" w:cs="FangSong_GB2312"/>
                <w:b/>
                <w:color w:val="000000"/>
                <w:kern w:val="0"/>
                <w:sz w:val="32"/>
                <w:szCs w:val="32"/>
              </w:rPr>
              <w:t>报价</w:t>
            </w:r>
          </w:p>
          <w:p w14:paraId="2C72A7E0">
            <w:pPr>
              <w:widowControl/>
              <w:spacing w:line="560" w:lineRule="exact"/>
              <w:jc w:val="center"/>
              <w:textAlignment w:val="center"/>
              <w:rPr>
                <w:rFonts w:hint="eastAsia" w:ascii="FangSong_GB2312" w:hAnsi="宋体" w:eastAsia="FangSong_GB2312" w:cs="FangSong_GB2312"/>
                <w:b/>
                <w:color w:val="000000"/>
                <w:kern w:val="0"/>
                <w:sz w:val="32"/>
                <w:szCs w:val="32"/>
                <w:lang w:eastAsia="zh-CN"/>
              </w:rPr>
            </w:pPr>
          </w:p>
        </w:tc>
        <w:tc>
          <w:tcPr>
            <w:tcW w:w="5549" w:type="dxa"/>
            <w:tcBorders>
              <w:top w:val="single" w:color="000000" w:sz="4" w:space="0"/>
              <w:left w:val="single" w:color="000000" w:sz="4" w:space="0"/>
              <w:bottom w:val="single" w:color="000000" w:sz="4" w:space="0"/>
              <w:right w:val="single" w:color="000000" w:sz="4" w:space="0"/>
            </w:tcBorders>
            <w:vAlign w:val="center"/>
          </w:tcPr>
          <w:p w14:paraId="03837CA1">
            <w:pPr>
              <w:widowControl/>
              <w:spacing w:line="560" w:lineRule="exact"/>
              <w:jc w:val="center"/>
              <w:textAlignment w:val="center"/>
              <w:rPr>
                <w:rFonts w:hint="eastAsia" w:ascii="FangSong_GB2312" w:hAnsi="宋体" w:eastAsia="宋体" w:cs="FangSong_GB2312"/>
                <w:b/>
                <w:color w:val="000000"/>
                <w:kern w:val="0"/>
                <w:sz w:val="32"/>
                <w:szCs w:val="32"/>
                <w:lang w:val="en-US" w:eastAsia="zh-CN"/>
              </w:rPr>
            </w:pPr>
            <w:r>
              <w:rPr>
                <w:rFonts w:hint="eastAsia" w:ascii="FangSong_GB2312" w:hAnsi="宋体" w:eastAsia="FangSong_GB2312" w:cs="FangSong_GB2312"/>
                <w:b/>
                <w:color w:val="000000"/>
                <w:kern w:val="0"/>
                <w:sz w:val="32"/>
                <w:szCs w:val="32"/>
              </w:rPr>
              <w:t xml:space="preserve">    </w:t>
            </w:r>
            <w:r>
              <w:rPr>
                <w:rFonts w:hint="eastAsia" w:ascii="FangSong_GB2312" w:hAnsi="宋体" w:eastAsia="FangSong_GB2312" w:cs="FangSong_GB2312"/>
                <w:b/>
                <w:color w:val="000000"/>
                <w:kern w:val="0"/>
                <w:sz w:val="32"/>
                <w:szCs w:val="32"/>
                <w:lang w:val="en-US" w:eastAsia="zh-CN"/>
              </w:rPr>
              <w:t>元</w:t>
            </w:r>
            <w:r>
              <w:rPr>
                <w:rFonts w:hint="eastAsia" w:ascii="FangSong_GB2312" w:hAnsi="宋体" w:eastAsia="FangSong_GB2312" w:cs="FangSong_GB2312"/>
                <w:b/>
                <w:color w:val="000000"/>
                <w:kern w:val="0"/>
                <w:sz w:val="32"/>
                <w:szCs w:val="32"/>
              </w:rPr>
              <w:t>（</w:t>
            </w:r>
            <w:r>
              <w:rPr>
                <w:rFonts w:hint="eastAsia" w:ascii="FangSong_GB2312" w:hAnsi="宋体" w:cs="FangSong_GB2312"/>
                <w:b/>
                <w:color w:val="000000"/>
                <w:kern w:val="0"/>
                <w:sz w:val="32"/>
                <w:szCs w:val="32"/>
                <w:lang w:val="en-US" w:eastAsia="zh-CN"/>
              </w:rPr>
              <w:t>含税）</w:t>
            </w:r>
          </w:p>
        </w:tc>
      </w:tr>
    </w:tbl>
    <w:p w14:paraId="3222FBF9">
      <w:pPr>
        <w:spacing w:line="560" w:lineRule="exact"/>
        <w:rPr>
          <w:rFonts w:ascii="FangSong_GB2312" w:eastAsia="FangSong_GB2312"/>
          <w:sz w:val="32"/>
          <w:szCs w:val="32"/>
        </w:rPr>
      </w:pPr>
    </w:p>
    <w:p w14:paraId="3FA8DECA">
      <w:pPr>
        <w:ind w:firstLine="5440" w:firstLineChars="17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656082C8">
      <w:pPr>
        <w:ind w:firstLine="5440" w:firstLineChars="1700"/>
        <w:rPr>
          <w:rFonts w:hint="default" w:ascii="Times New Roman" w:hAnsi="Times New Roman" w:eastAsia="仿宋_GB2312" w:cs="Times New Roman"/>
          <w:sz w:val="32"/>
          <w:szCs w:val="32"/>
        </w:rPr>
      </w:pPr>
    </w:p>
    <w:p w14:paraId="09F52BCE">
      <w:pPr>
        <w:ind w:firstLine="5440" w:firstLineChars="17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477B5B2E"/>
    <w:p w14:paraId="693DBF2A">
      <w:pPr>
        <w:pStyle w:val="6"/>
      </w:pPr>
    </w:p>
    <w:p w14:paraId="25C07801">
      <w:pPr>
        <w:widowControl/>
        <w:jc w:val="left"/>
        <w:rPr>
          <w:rFonts w:hint="eastAsia" w:ascii="宋体" w:hAnsi="宋体" w:cs="宋体"/>
          <w:b/>
          <w:color w:val="000000"/>
          <w:kern w:val="0"/>
          <w:sz w:val="28"/>
          <w:szCs w:val="28"/>
        </w:rPr>
      </w:pPr>
      <w:r>
        <w:rPr>
          <w:rFonts w:hint="eastAsia" w:ascii="黑体" w:hAnsi="黑体" w:eastAsia="黑体"/>
          <w:sz w:val="32"/>
          <w:szCs w:val="32"/>
        </w:rPr>
        <w:t>附件2</w:t>
      </w:r>
      <w:r>
        <w:rPr>
          <w:rFonts w:hint="eastAsia" w:ascii="宋体" w:hAnsi="宋体" w:cs="宋体"/>
          <w:b/>
          <w:color w:val="000000"/>
          <w:kern w:val="0"/>
          <w:sz w:val="28"/>
          <w:szCs w:val="28"/>
        </w:rPr>
        <w:t xml:space="preserve"> </w:t>
      </w:r>
    </w:p>
    <w:p w14:paraId="7BBD8FA6">
      <w:pPr>
        <w:pStyle w:val="10"/>
        <w:contextualSpacing/>
        <w:jc w:val="center"/>
        <w:rPr>
          <w:rFonts w:ascii="方正小标宋简体" w:hAnsi="方正小标宋简体" w:eastAsia="方正小标宋简体" w:cs="方正小标宋简体"/>
          <w:b/>
          <w:sz w:val="44"/>
          <w:szCs w:val="44"/>
          <w:lang w:val="zh-CN"/>
        </w:rPr>
      </w:pPr>
      <w:r>
        <w:rPr>
          <w:rFonts w:hint="eastAsia" w:ascii="方正小标宋简体" w:hAnsi="方正小标宋简体" w:eastAsia="方正小标宋简体" w:cs="方正小标宋简体"/>
          <w:b/>
          <w:sz w:val="44"/>
          <w:szCs w:val="44"/>
        </w:rPr>
        <w:t>评标</w:t>
      </w:r>
      <w:r>
        <w:rPr>
          <w:rFonts w:hint="eastAsia" w:ascii="方正小标宋简体" w:hAnsi="方正小标宋简体" w:eastAsia="方正小标宋简体" w:cs="方正小标宋简体"/>
          <w:b/>
          <w:sz w:val="44"/>
          <w:szCs w:val="44"/>
          <w:lang w:val="zh-CN"/>
        </w:rPr>
        <w:t>标准</w:t>
      </w:r>
    </w:p>
    <w:p w14:paraId="28A688DB">
      <w:pPr>
        <w:spacing w:line="580" w:lineRule="exact"/>
        <w:ind w:firstLine="643" w:firstLineChars="200"/>
        <w:rPr>
          <w:rFonts w:ascii="黑体" w:hAnsi="黑体" w:eastAsia="黑体" w:cs="黑体"/>
          <w:b/>
          <w:color w:val="333333"/>
          <w:kern w:val="0"/>
          <w:sz w:val="32"/>
          <w:szCs w:val="32"/>
          <w:shd w:val="clear" w:color="auto" w:fill="FFFFFF"/>
        </w:rPr>
      </w:pPr>
      <w:r>
        <w:rPr>
          <w:rFonts w:hint="eastAsia" w:ascii="黑体" w:hAnsi="黑体" w:eastAsia="黑体" w:cs="黑体"/>
          <w:b/>
          <w:color w:val="333333"/>
          <w:kern w:val="0"/>
          <w:sz w:val="32"/>
          <w:szCs w:val="32"/>
          <w:shd w:val="clear" w:color="auto" w:fill="FFFFFF"/>
        </w:rPr>
        <w:t>一、资格审查</w:t>
      </w:r>
    </w:p>
    <w:p w14:paraId="3B99D721">
      <w:pPr>
        <w:spacing w:line="580" w:lineRule="exact"/>
        <w:ind w:firstLine="640" w:firstLineChars="200"/>
        <w:rPr>
          <w:rFonts w:ascii="FangSong_GB2312" w:hAnsi="FangSong_GB2312" w:eastAsia="FangSong_GB2312" w:cs="FangSong_GB2312"/>
          <w:color w:val="FF0000"/>
          <w:sz w:val="32"/>
          <w:szCs w:val="32"/>
          <w:lang w:val="zh-CN"/>
        </w:rPr>
      </w:pPr>
      <w:r>
        <w:rPr>
          <w:rFonts w:hint="eastAsia" w:ascii="FangSong_GB2312" w:hAnsi="FangSong_GB2312" w:eastAsia="FangSong_GB2312" w:cs="FangSong_GB2312"/>
          <w:sz w:val="32"/>
          <w:szCs w:val="32"/>
        </w:rPr>
        <w:t>评审小组对申请人资格进行检查。</w:t>
      </w:r>
      <w:r>
        <w:rPr>
          <w:rFonts w:hint="eastAsia" w:ascii="FangSong_GB2312" w:hAnsi="FangSong_GB2312" w:eastAsia="FangSong_GB2312" w:cs="FangSong_GB2312"/>
          <w:sz w:val="32"/>
          <w:szCs w:val="32"/>
          <w:lang w:val="zh-CN"/>
        </w:rPr>
        <w:t>确定符合资格的</w:t>
      </w:r>
      <w:r>
        <w:rPr>
          <w:rFonts w:hint="eastAsia" w:ascii="FangSong_GB2312" w:hAnsi="FangSong_GB2312" w:eastAsia="FangSong_GB2312" w:cs="FangSong_GB2312"/>
          <w:sz w:val="32"/>
          <w:szCs w:val="32"/>
        </w:rPr>
        <w:t>申请</w:t>
      </w:r>
      <w:r>
        <w:rPr>
          <w:rFonts w:hint="eastAsia" w:ascii="FangSong_GB2312" w:hAnsi="FangSong_GB2312" w:eastAsia="FangSong_GB2312" w:cs="FangSong_GB2312"/>
          <w:sz w:val="32"/>
          <w:szCs w:val="32"/>
          <w:lang w:val="zh-CN"/>
        </w:rPr>
        <w:t>人不少于</w:t>
      </w:r>
      <w:r>
        <w:rPr>
          <w:rFonts w:ascii="Times New Roman" w:hAnsi="Times New Roman" w:eastAsia="FangSong_GB2312" w:cs="FangSong_GB2312"/>
          <w:sz w:val="32"/>
          <w:szCs w:val="32"/>
        </w:rPr>
        <w:t>3</w:t>
      </w:r>
      <w:r>
        <w:rPr>
          <w:rFonts w:hint="eastAsia" w:ascii="FangSong_GB2312" w:hAnsi="FangSong_GB2312" w:eastAsia="FangSong_GB2312" w:cs="FangSong_GB2312"/>
          <w:sz w:val="32"/>
          <w:szCs w:val="32"/>
          <w:lang w:val="zh-CN"/>
        </w:rPr>
        <w:t>家后对投标文件进行符合性审查，</w:t>
      </w:r>
      <w:r>
        <w:rPr>
          <w:rFonts w:hint="eastAsia" w:ascii="FangSong_GB2312" w:hAnsi="FangSong_GB2312" w:eastAsia="FangSong_GB2312" w:cs="FangSong_GB2312"/>
          <w:sz w:val="32"/>
          <w:szCs w:val="32"/>
        </w:rPr>
        <w:t>少于三家则本次评标过程无效</w:t>
      </w:r>
      <w:r>
        <w:rPr>
          <w:rFonts w:hint="eastAsia" w:ascii="FangSong_GB2312" w:hAnsi="FangSong_GB2312" w:eastAsia="FangSong_GB2312" w:cs="FangSong_GB2312"/>
          <w:sz w:val="32"/>
          <w:szCs w:val="32"/>
          <w:lang w:val="zh-CN"/>
        </w:rPr>
        <w:t>。</w:t>
      </w:r>
    </w:p>
    <w:p w14:paraId="697167F0">
      <w:pPr>
        <w:spacing w:line="580" w:lineRule="exact"/>
        <w:ind w:firstLine="643" w:firstLineChars="200"/>
        <w:rPr>
          <w:rFonts w:ascii="黑体" w:hAnsi="黑体" w:eastAsia="黑体" w:cs="黑体"/>
          <w:b/>
          <w:color w:val="333333"/>
          <w:kern w:val="0"/>
          <w:sz w:val="32"/>
          <w:szCs w:val="32"/>
          <w:shd w:val="clear" w:color="auto" w:fill="FFFFFF"/>
        </w:rPr>
      </w:pPr>
      <w:r>
        <w:rPr>
          <w:rFonts w:hint="eastAsia" w:ascii="黑体" w:hAnsi="黑体" w:eastAsia="黑体" w:cs="黑体"/>
          <w:b/>
          <w:color w:val="333333"/>
          <w:kern w:val="0"/>
          <w:sz w:val="32"/>
          <w:szCs w:val="32"/>
          <w:shd w:val="clear" w:color="auto" w:fill="FFFFFF"/>
        </w:rPr>
        <w:t>二、评审</w:t>
      </w:r>
    </w:p>
    <w:p w14:paraId="091DD95D">
      <w:pPr>
        <w:spacing w:line="580" w:lineRule="exact"/>
        <w:ind w:firstLine="643" w:firstLineChars="200"/>
        <w:rPr>
          <w:rFonts w:ascii="楷体_GB2312" w:hAnsi="楷体" w:eastAsia="楷体_GB2312" w:cs="楷体"/>
          <w:b/>
          <w:kern w:val="0"/>
          <w:sz w:val="32"/>
          <w:szCs w:val="32"/>
        </w:rPr>
      </w:pPr>
      <w:r>
        <w:rPr>
          <w:rFonts w:hint="eastAsia" w:ascii="楷体_GB2312" w:hAnsi="楷体" w:eastAsia="楷体_GB2312" w:cs="楷体"/>
          <w:b/>
          <w:kern w:val="0"/>
          <w:sz w:val="32"/>
          <w:szCs w:val="32"/>
        </w:rPr>
        <w:t>（一）评审方法</w:t>
      </w:r>
    </w:p>
    <w:p w14:paraId="431A7245">
      <w:pPr>
        <w:spacing w:line="580" w:lineRule="exact"/>
        <w:ind w:firstLine="640" w:firstLineChars="200"/>
        <w:rPr>
          <w:rFonts w:ascii="FangSong_GB2312" w:hAnsi="FangSong_GB2312" w:eastAsia="FangSong_GB2312" w:cs="FangSong_GB2312"/>
          <w:sz w:val="32"/>
          <w:szCs w:val="32"/>
          <w:lang w:val="zh-CN"/>
        </w:rPr>
      </w:pPr>
      <w:r>
        <w:rPr>
          <w:rFonts w:hint="eastAsia" w:ascii="FangSong_GB2312" w:hAnsi="FangSong_GB2312" w:eastAsia="FangSong_GB2312" w:cs="FangSong_GB2312"/>
          <w:sz w:val="32"/>
          <w:szCs w:val="32"/>
          <w:lang w:val="zh-CN"/>
        </w:rPr>
        <w:t>本项目采用综合评分法。总分为</w:t>
      </w:r>
      <w:r>
        <w:rPr>
          <w:rFonts w:ascii="FangSong_GB2312" w:hAnsi="FangSong_GB2312" w:eastAsia="FangSong_GB2312" w:cs="FangSong_GB2312"/>
          <w:sz w:val="32"/>
          <w:szCs w:val="32"/>
          <w:lang w:val="zh-CN"/>
        </w:rPr>
        <w:t xml:space="preserve"> </w:t>
      </w:r>
      <w:r>
        <w:rPr>
          <w:rFonts w:ascii="Times New Roman" w:hAnsi="Times New Roman" w:eastAsia="FangSong_GB2312" w:cs="FangSong_GB2312"/>
          <w:sz w:val="32"/>
          <w:szCs w:val="32"/>
        </w:rPr>
        <w:t>100</w:t>
      </w:r>
      <w:r>
        <w:rPr>
          <w:rFonts w:ascii="FangSong_GB2312" w:hAnsi="FangSong_GB2312" w:eastAsia="FangSong_GB2312" w:cs="FangSong_GB2312"/>
          <w:sz w:val="32"/>
          <w:szCs w:val="32"/>
          <w:lang w:val="zh-CN"/>
        </w:rPr>
        <w:t xml:space="preserve"> </w:t>
      </w:r>
      <w:r>
        <w:rPr>
          <w:rFonts w:hint="eastAsia" w:ascii="FangSong_GB2312" w:hAnsi="FangSong_GB2312" w:eastAsia="FangSong_GB2312" w:cs="FangSong_GB2312"/>
          <w:sz w:val="32"/>
          <w:szCs w:val="32"/>
          <w:lang w:val="zh-CN"/>
        </w:rPr>
        <w:t>分。</w:t>
      </w:r>
    </w:p>
    <w:p w14:paraId="44214AB7">
      <w:pPr>
        <w:spacing w:afterLines="50" w:line="580" w:lineRule="exact"/>
        <w:ind w:firstLine="643" w:firstLineChars="200"/>
        <w:rPr>
          <w:rFonts w:ascii="楷体_GB2312" w:hAnsi="楷体" w:eastAsia="楷体_GB2312" w:cs="楷体"/>
          <w:b/>
          <w:kern w:val="0"/>
          <w:sz w:val="32"/>
          <w:szCs w:val="32"/>
        </w:rPr>
      </w:pPr>
      <w:r>
        <w:rPr>
          <w:rFonts w:hint="eastAsia" w:ascii="楷体_GB2312" w:hAnsi="楷体" w:eastAsia="楷体_GB2312" w:cs="楷体"/>
          <w:b/>
          <w:kern w:val="0"/>
          <w:sz w:val="32"/>
          <w:szCs w:val="32"/>
        </w:rPr>
        <w:t>（二）评分办法</w:t>
      </w:r>
    </w:p>
    <w:tbl>
      <w:tblPr>
        <w:tblStyle w:val="8"/>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6786"/>
      </w:tblGrid>
      <w:tr w14:paraId="2031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063" w:type="dxa"/>
            <w:noWrap/>
            <w:vAlign w:val="center"/>
          </w:tcPr>
          <w:p w14:paraId="7B8A593E">
            <w:pPr>
              <w:tabs>
                <w:tab w:val="left" w:pos="1260"/>
              </w:tabs>
              <w:autoSpaceDE w:val="0"/>
              <w:autoSpaceDN w:val="0"/>
              <w:adjustRightInd w:val="0"/>
              <w:snapToGrid w:val="0"/>
              <w:spacing w:line="276" w:lineRule="auto"/>
              <w:jc w:val="center"/>
              <w:rPr>
                <w:rFonts w:hint="eastAsia" w:ascii="FangSong_GB2312" w:hAnsi="FangSong_GB2312" w:eastAsia="FangSong_GB2312" w:cs="FangSong_GB2312"/>
                <w:b/>
                <w:bCs/>
                <w:sz w:val="32"/>
                <w:szCs w:val="32"/>
                <w:lang w:val="zh-CN"/>
              </w:rPr>
            </w:pPr>
            <w:r>
              <w:rPr>
                <w:rFonts w:hint="eastAsia" w:ascii="FangSong_GB2312" w:hAnsi="FangSong_GB2312" w:eastAsia="FangSong_GB2312" w:cs="FangSong_GB2312"/>
                <w:b/>
                <w:bCs/>
                <w:sz w:val="32"/>
                <w:szCs w:val="32"/>
                <w:lang w:val="zh-CN"/>
              </w:rPr>
              <w:t>分值构成</w:t>
            </w:r>
          </w:p>
          <w:p w14:paraId="12AAC491">
            <w:pPr>
              <w:tabs>
                <w:tab w:val="left" w:pos="1260"/>
              </w:tabs>
              <w:autoSpaceDE w:val="0"/>
              <w:autoSpaceDN w:val="0"/>
              <w:adjustRightInd w:val="0"/>
              <w:snapToGrid w:val="0"/>
              <w:spacing w:line="276" w:lineRule="auto"/>
              <w:jc w:val="center"/>
              <w:rPr>
                <w:rFonts w:hint="eastAsia" w:ascii="FangSong_GB2312" w:hAnsi="FangSong_GB2312" w:eastAsia="FangSong_GB2312" w:cs="FangSong_GB2312"/>
                <w:b/>
                <w:bCs/>
                <w:sz w:val="32"/>
                <w:szCs w:val="32"/>
                <w:lang w:val="zh-CN"/>
              </w:rPr>
            </w:pPr>
            <w:r>
              <w:rPr>
                <w:rFonts w:hint="eastAsia" w:ascii="FangSong_GB2312" w:hAnsi="FangSong_GB2312" w:eastAsia="FangSong_GB2312" w:cs="FangSong_GB2312"/>
                <w:b/>
                <w:bCs/>
                <w:sz w:val="32"/>
                <w:szCs w:val="32"/>
                <w:lang w:val="zh-CN"/>
              </w:rPr>
              <w:t>(总分</w:t>
            </w:r>
            <w:r>
              <w:rPr>
                <w:rFonts w:hint="eastAsia" w:ascii="FangSong_GB2312" w:hAnsi="FangSong_GB2312" w:eastAsia="FangSong_GB2312" w:cs="FangSong_GB2312"/>
                <w:b/>
                <w:bCs/>
                <w:sz w:val="32"/>
                <w:szCs w:val="32"/>
              </w:rPr>
              <w:t>100</w:t>
            </w:r>
            <w:r>
              <w:rPr>
                <w:rFonts w:hint="eastAsia" w:ascii="FangSong_GB2312" w:hAnsi="FangSong_GB2312" w:eastAsia="FangSong_GB2312" w:cs="FangSong_GB2312"/>
                <w:b/>
                <w:bCs/>
                <w:sz w:val="32"/>
                <w:szCs w:val="32"/>
                <w:lang w:val="zh-CN"/>
              </w:rPr>
              <w:t>分)</w:t>
            </w:r>
          </w:p>
        </w:tc>
        <w:tc>
          <w:tcPr>
            <w:tcW w:w="6786" w:type="dxa"/>
            <w:noWrap/>
            <w:vAlign w:val="center"/>
          </w:tcPr>
          <w:p w14:paraId="42007F0E">
            <w:pPr>
              <w:tabs>
                <w:tab w:val="left" w:pos="1260"/>
              </w:tabs>
              <w:autoSpaceDE w:val="0"/>
              <w:autoSpaceDN w:val="0"/>
              <w:adjustRightInd w:val="0"/>
              <w:snapToGrid w:val="0"/>
              <w:spacing w:line="276" w:lineRule="auto"/>
              <w:jc w:val="left"/>
              <w:rPr>
                <w:rFonts w:hint="eastAsia" w:ascii="FangSong_GB2312" w:hAnsi="FangSong_GB2312" w:eastAsia="FangSong_GB2312" w:cs="FangSong_GB2312"/>
                <w:sz w:val="32"/>
                <w:szCs w:val="32"/>
                <w:lang w:val="zh-CN"/>
              </w:rPr>
            </w:pPr>
            <w:r>
              <w:rPr>
                <w:rFonts w:hint="eastAsia" w:ascii="FangSong_GB2312" w:hAnsi="FangSong_GB2312" w:eastAsia="FangSong_GB2312" w:cs="FangSong_GB2312"/>
                <w:sz w:val="32"/>
                <w:szCs w:val="32"/>
                <w:lang w:val="en-US" w:eastAsia="zh-CN"/>
              </w:rPr>
              <w:t>企业报价</w:t>
            </w:r>
            <w:r>
              <w:rPr>
                <w:rFonts w:hint="eastAsia" w:ascii="FangSong_GB2312" w:hAnsi="FangSong_GB2312" w:eastAsia="FangSong_GB2312" w:cs="FangSong_GB2312"/>
                <w:sz w:val="32"/>
                <w:szCs w:val="32"/>
                <w:lang w:val="zh-CN"/>
              </w:rPr>
              <w:t>：</w:t>
            </w:r>
            <w:r>
              <w:rPr>
                <w:rFonts w:hint="eastAsia" w:ascii="FangSong_GB2312" w:hAnsi="FangSong_GB2312" w:eastAsia="FangSong_GB2312" w:cs="FangSong_GB2312"/>
                <w:sz w:val="32"/>
                <w:szCs w:val="32"/>
                <w:u w:val="single"/>
                <w:lang w:val="en-US" w:eastAsia="zh-CN"/>
              </w:rPr>
              <w:t>3</w:t>
            </w:r>
            <w:r>
              <w:rPr>
                <w:rFonts w:hint="eastAsia" w:ascii="FangSong_GB2312" w:hAnsi="FangSong_GB2312" w:eastAsia="FangSong_GB2312" w:cs="FangSong_GB2312"/>
                <w:sz w:val="32"/>
                <w:szCs w:val="32"/>
                <w:u w:val="single"/>
              </w:rPr>
              <w:t>0</w:t>
            </w:r>
            <w:r>
              <w:rPr>
                <w:rFonts w:hint="eastAsia" w:ascii="FangSong_GB2312" w:hAnsi="FangSong_GB2312" w:eastAsia="FangSong_GB2312" w:cs="FangSong_GB2312"/>
                <w:sz w:val="32"/>
                <w:szCs w:val="32"/>
                <w:u w:val="single"/>
                <w:lang w:val="zh-CN"/>
              </w:rPr>
              <w:t>分</w:t>
            </w:r>
          </w:p>
          <w:p w14:paraId="02434631">
            <w:pPr>
              <w:tabs>
                <w:tab w:val="left" w:pos="1260"/>
              </w:tabs>
              <w:autoSpaceDE w:val="0"/>
              <w:autoSpaceDN w:val="0"/>
              <w:adjustRightInd w:val="0"/>
              <w:snapToGrid w:val="0"/>
              <w:spacing w:line="276" w:lineRule="auto"/>
              <w:jc w:val="left"/>
              <w:rPr>
                <w:rFonts w:hint="eastAsia" w:ascii="FangSong_GB2312" w:hAnsi="FangSong_GB2312" w:eastAsia="FangSong_GB2312" w:cs="FangSong_GB2312"/>
                <w:sz w:val="32"/>
                <w:szCs w:val="32"/>
                <w:u w:val="single"/>
                <w:lang w:val="zh-CN"/>
              </w:rPr>
            </w:pPr>
            <w:r>
              <w:rPr>
                <w:rFonts w:hint="eastAsia" w:ascii="FangSong_GB2312" w:hAnsi="FangSong_GB2312" w:eastAsia="FangSong_GB2312" w:cs="FangSong_GB2312"/>
                <w:sz w:val="32"/>
                <w:szCs w:val="32"/>
                <w:lang w:val="en-US" w:eastAsia="zh-CN"/>
              </w:rPr>
              <w:t>企业业绩</w:t>
            </w:r>
            <w:r>
              <w:rPr>
                <w:rFonts w:hint="eastAsia" w:ascii="FangSong_GB2312" w:hAnsi="FangSong_GB2312" w:eastAsia="FangSong_GB2312" w:cs="FangSong_GB2312"/>
                <w:sz w:val="32"/>
                <w:szCs w:val="32"/>
                <w:lang w:val="zh-CN"/>
              </w:rPr>
              <w:t>：</w:t>
            </w:r>
            <w:r>
              <w:rPr>
                <w:rFonts w:hint="eastAsia" w:ascii="FangSong_GB2312" w:hAnsi="FangSong_GB2312" w:eastAsia="FangSong_GB2312" w:cs="FangSong_GB2312"/>
                <w:sz w:val="32"/>
                <w:szCs w:val="32"/>
                <w:u w:val="single"/>
                <w:lang w:val="en-US" w:eastAsia="zh-CN"/>
              </w:rPr>
              <w:t>15</w:t>
            </w:r>
            <w:r>
              <w:rPr>
                <w:rFonts w:hint="eastAsia" w:ascii="FangSong_GB2312" w:hAnsi="FangSong_GB2312" w:eastAsia="FangSong_GB2312" w:cs="FangSong_GB2312"/>
                <w:sz w:val="32"/>
                <w:szCs w:val="32"/>
                <w:u w:val="single"/>
                <w:lang w:val="zh-CN"/>
              </w:rPr>
              <w:t>分</w:t>
            </w:r>
          </w:p>
          <w:p w14:paraId="245A4257">
            <w:pPr>
              <w:tabs>
                <w:tab w:val="left" w:pos="1260"/>
              </w:tabs>
              <w:autoSpaceDE w:val="0"/>
              <w:autoSpaceDN w:val="0"/>
              <w:adjustRightInd w:val="0"/>
              <w:snapToGrid w:val="0"/>
              <w:spacing w:line="276" w:lineRule="auto"/>
              <w:jc w:val="left"/>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eastAsia="zh-CN"/>
              </w:rPr>
              <w:t>人员配备</w:t>
            </w:r>
            <w:r>
              <w:rPr>
                <w:rFonts w:hint="eastAsia" w:ascii="FangSong_GB2312" w:hAnsi="FangSong_GB2312" w:eastAsia="FangSong_GB2312" w:cs="FangSong_GB2312"/>
                <w:sz w:val="32"/>
                <w:szCs w:val="32"/>
              </w:rPr>
              <w:t>：</w:t>
            </w:r>
            <w:r>
              <w:rPr>
                <w:rFonts w:hint="eastAsia" w:ascii="FangSong_GB2312" w:hAnsi="FangSong_GB2312" w:eastAsia="FangSong_GB2312" w:cs="FangSong_GB2312"/>
                <w:sz w:val="32"/>
                <w:szCs w:val="32"/>
                <w:u w:val="single"/>
                <w:lang w:val="en-US" w:eastAsia="zh-CN"/>
              </w:rPr>
              <w:t>20</w:t>
            </w:r>
            <w:r>
              <w:rPr>
                <w:rFonts w:hint="eastAsia" w:ascii="FangSong_GB2312" w:hAnsi="FangSong_GB2312" w:eastAsia="FangSong_GB2312" w:cs="FangSong_GB2312"/>
                <w:sz w:val="32"/>
                <w:szCs w:val="32"/>
                <w:u w:val="single"/>
                <w:lang w:val="zh-CN"/>
              </w:rPr>
              <w:t>分</w:t>
            </w:r>
          </w:p>
          <w:p w14:paraId="46392AC8">
            <w:pPr>
              <w:tabs>
                <w:tab w:val="left" w:pos="1260"/>
              </w:tabs>
              <w:autoSpaceDE w:val="0"/>
              <w:autoSpaceDN w:val="0"/>
              <w:adjustRightInd w:val="0"/>
              <w:snapToGrid w:val="0"/>
              <w:spacing w:line="276" w:lineRule="auto"/>
              <w:jc w:val="left"/>
              <w:rPr>
                <w:rFonts w:hint="eastAsia" w:ascii="FangSong_GB2312" w:hAnsi="FangSong_GB2312" w:eastAsia="FangSong_GB2312" w:cs="FangSong_GB2312"/>
                <w:sz w:val="32"/>
                <w:szCs w:val="32"/>
                <w:lang w:val="zh-CN"/>
              </w:rPr>
            </w:pPr>
            <w:r>
              <w:rPr>
                <w:rFonts w:hint="eastAsia" w:ascii="FangSong_GB2312" w:hAnsi="FangSong_GB2312" w:eastAsia="FangSong_GB2312" w:cs="FangSong_GB2312"/>
                <w:sz w:val="32"/>
                <w:szCs w:val="32"/>
              </w:rPr>
              <w:t>服务方案</w:t>
            </w:r>
            <w:r>
              <w:rPr>
                <w:rFonts w:hint="eastAsia" w:ascii="FangSong_GB2312" w:hAnsi="FangSong_GB2312" w:eastAsia="FangSong_GB2312" w:cs="FangSong_GB2312"/>
                <w:sz w:val="32"/>
                <w:szCs w:val="32"/>
                <w:lang w:val="zh-CN"/>
              </w:rPr>
              <w:t>：</w:t>
            </w:r>
            <w:r>
              <w:rPr>
                <w:rFonts w:hint="eastAsia" w:ascii="FangSong_GB2312" w:hAnsi="FangSong_GB2312" w:eastAsia="FangSong_GB2312" w:cs="FangSong_GB2312"/>
                <w:sz w:val="32"/>
                <w:szCs w:val="32"/>
                <w:u w:val="single"/>
                <w:lang w:val="en-US" w:eastAsia="zh-CN"/>
              </w:rPr>
              <w:t>35</w:t>
            </w:r>
            <w:r>
              <w:rPr>
                <w:rFonts w:hint="eastAsia" w:ascii="FangSong_GB2312" w:hAnsi="FangSong_GB2312" w:eastAsia="FangSong_GB2312" w:cs="FangSong_GB2312"/>
                <w:sz w:val="32"/>
                <w:szCs w:val="32"/>
                <w:u w:val="single"/>
                <w:lang w:val="zh-CN"/>
              </w:rPr>
              <w:t>分</w:t>
            </w:r>
          </w:p>
        </w:tc>
      </w:tr>
      <w:tr w14:paraId="71C0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063" w:type="dxa"/>
            <w:noWrap/>
            <w:tcMar>
              <w:top w:w="0" w:type="dxa"/>
              <w:left w:w="0" w:type="dxa"/>
              <w:bottom w:w="0" w:type="dxa"/>
              <w:right w:w="0" w:type="dxa"/>
            </w:tcMar>
            <w:vAlign w:val="center"/>
          </w:tcPr>
          <w:p w14:paraId="6E4B935B">
            <w:pPr>
              <w:jc w:val="center"/>
              <w:rPr>
                <w:rFonts w:hint="eastAsia" w:ascii="FangSong_GB2312" w:hAnsi="FangSong_GB2312" w:eastAsia="FangSong_GB2312" w:cs="FangSong_GB2312"/>
                <w:b/>
                <w:bCs/>
                <w:sz w:val="32"/>
                <w:szCs w:val="32"/>
                <w:lang w:val="zh-CN"/>
              </w:rPr>
            </w:pPr>
            <w:r>
              <w:rPr>
                <w:rFonts w:hint="eastAsia" w:ascii="FangSong_GB2312" w:hAnsi="FangSong_GB2312" w:eastAsia="FangSong_GB2312" w:cs="FangSong_GB2312"/>
                <w:b/>
                <w:bCs/>
                <w:sz w:val="32"/>
                <w:szCs w:val="32"/>
                <w:lang w:val="zh-CN"/>
              </w:rPr>
              <w:t>评审项</w:t>
            </w:r>
          </w:p>
        </w:tc>
        <w:tc>
          <w:tcPr>
            <w:tcW w:w="6786" w:type="dxa"/>
            <w:noWrap/>
            <w:tcMar>
              <w:top w:w="0" w:type="dxa"/>
              <w:left w:w="0" w:type="dxa"/>
              <w:bottom w:w="0" w:type="dxa"/>
              <w:right w:w="0" w:type="dxa"/>
            </w:tcMar>
            <w:vAlign w:val="center"/>
          </w:tcPr>
          <w:p w14:paraId="652A1EB5">
            <w:pPr>
              <w:jc w:val="center"/>
              <w:rPr>
                <w:rFonts w:hint="eastAsia" w:ascii="FangSong_GB2312" w:hAnsi="FangSong_GB2312" w:eastAsia="FangSong_GB2312" w:cs="FangSong_GB2312"/>
                <w:b/>
                <w:bCs/>
                <w:sz w:val="32"/>
                <w:szCs w:val="32"/>
                <w:lang w:val="zh-CN"/>
              </w:rPr>
            </w:pPr>
            <w:r>
              <w:rPr>
                <w:rFonts w:hint="eastAsia" w:ascii="FangSong_GB2312" w:hAnsi="FangSong_GB2312" w:eastAsia="FangSong_GB2312" w:cs="FangSong_GB2312"/>
                <w:b/>
                <w:bCs/>
                <w:sz w:val="32"/>
                <w:szCs w:val="32"/>
                <w:lang w:val="zh-CN"/>
              </w:rPr>
              <w:t>评标标准</w:t>
            </w:r>
          </w:p>
        </w:tc>
      </w:tr>
      <w:tr w14:paraId="37E3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2063" w:type="dxa"/>
            <w:noWrap/>
            <w:tcMar>
              <w:top w:w="0" w:type="dxa"/>
              <w:left w:w="0" w:type="dxa"/>
              <w:bottom w:w="0" w:type="dxa"/>
              <w:right w:w="0" w:type="dxa"/>
            </w:tcMar>
            <w:vAlign w:val="center"/>
          </w:tcPr>
          <w:p w14:paraId="02F87035">
            <w:pPr>
              <w:adjustRightInd w:val="0"/>
              <w:snapToGrid w:val="0"/>
              <w:spacing w:line="276" w:lineRule="auto"/>
              <w:jc w:val="center"/>
              <w:rPr>
                <w:rFonts w:hint="eastAsia"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企业报价</w:t>
            </w:r>
          </w:p>
          <w:p w14:paraId="41136CE6">
            <w:pPr>
              <w:adjustRightInd w:val="0"/>
              <w:snapToGrid w:val="0"/>
              <w:spacing w:line="276" w:lineRule="auto"/>
              <w:jc w:val="center"/>
              <w:rPr>
                <w:rFonts w:hint="eastAsia"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w:t>
            </w:r>
            <w:r>
              <w:rPr>
                <w:rFonts w:hint="eastAsia" w:ascii="FangSong_GB2312" w:hAnsi="FangSong_GB2312" w:eastAsia="FangSong_GB2312" w:cs="FangSong_GB2312"/>
                <w:b/>
                <w:bCs/>
                <w:sz w:val="32"/>
                <w:szCs w:val="32"/>
                <w:lang w:val="en-US" w:eastAsia="zh-CN"/>
              </w:rPr>
              <w:t>3</w:t>
            </w:r>
            <w:r>
              <w:rPr>
                <w:rFonts w:hint="eastAsia" w:ascii="FangSong_GB2312" w:hAnsi="FangSong_GB2312" w:eastAsia="FangSong_GB2312" w:cs="FangSong_GB2312"/>
                <w:b/>
                <w:bCs/>
                <w:sz w:val="32"/>
                <w:szCs w:val="32"/>
              </w:rPr>
              <w:t>0分）</w:t>
            </w:r>
          </w:p>
        </w:tc>
        <w:tc>
          <w:tcPr>
            <w:tcW w:w="6786" w:type="dxa"/>
            <w:noWrap/>
            <w:tcMar>
              <w:top w:w="0" w:type="dxa"/>
              <w:left w:w="0" w:type="dxa"/>
              <w:bottom w:w="0" w:type="dxa"/>
              <w:right w:w="0" w:type="dxa"/>
            </w:tcMar>
            <w:vAlign w:val="center"/>
          </w:tcPr>
          <w:p w14:paraId="051E9DA8">
            <w:pPr>
              <w:numPr>
                <w:ilvl w:val="0"/>
                <w:numId w:val="1"/>
              </w:numPr>
              <w:snapToGrid w:val="0"/>
              <w:spacing w:line="336" w:lineRule="auto"/>
              <w:ind w:firstLine="640" w:firstLineChars="200"/>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rPr>
              <w:t>投标报价超过控制价</w:t>
            </w:r>
            <w:r>
              <w:rPr>
                <w:rFonts w:hint="eastAsia" w:ascii="FangSong_GB2312" w:hAnsi="FangSong_GB2312" w:eastAsia="FangSong_GB2312" w:cs="FangSong_GB2312"/>
                <w:sz w:val="32"/>
                <w:szCs w:val="32"/>
                <w:lang w:val="en-US" w:eastAsia="zh-CN"/>
              </w:rPr>
              <w:t>19.02万元</w:t>
            </w:r>
            <w:r>
              <w:rPr>
                <w:rFonts w:hint="eastAsia" w:ascii="FangSong_GB2312" w:hAnsi="FangSong_GB2312" w:eastAsia="FangSong_GB2312" w:cs="FangSong_GB2312"/>
                <w:sz w:val="32"/>
                <w:szCs w:val="32"/>
              </w:rPr>
              <w:t>的为无效报价</w:t>
            </w:r>
            <w:r>
              <w:rPr>
                <w:rFonts w:hint="eastAsia" w:ascii="FangSong_GB2312" w:hAnsi="FangSong_GB2312" w:eastAsia="FangSong_GB2312" w:cs="FangSong_GB2312"/>
                <w:sz w:val="32"/>
                <w:szCs w:val="32"/>
                <w:lang w:eastAsia="zh-CN"/>
              </w:rPr>
              <w:t>；</w:t>
            </w:r>
          </w:p>
          <w:p w14:paraId="3A142425">
            <w:pPr>
              <w:numPr>
                <w:ilvl w:val="0"/>
                <w:numId w:val="1"/>
              </w:numPr>
              <w:snapToGrid w:val="0"/>
              <w:spacing w:line="336" w:lineRule="auto"/>
              <w:ind w:firstLine="640" w:firstLineChars="200"/>
              <w:rPr>
                <w:rFonts w:hint="eastAsia" w:ascii="FangSong_GB2312" w:hAnsi="FangSong_GB2312" w:eastAsia="FangSong_GB2312" w:cs="FangSong_GB2312"/>
                <w:sz w:val="32"/>
                <w:szCs w:val="32"/>
                <w:lang w:val="zh-CN"/>
              </w:rPr>
            </w:pPr>
            <w:r>
              <w:rPr>
                <w:rFonts w:hint="eastAsia" w:ascii="FangSong_GB2312" w:hAnsi="FangSong_GB2312" w:eastAsia="FangSong_GB2312" w:cs="FangSong_GB2312"/>
                <w:sz w:val="32"/>
                <w:szCs w:val="32"/>
              </w:rPr>
              <w:t>所有参与的申请人最低的有效报价为基准报价，报价得分=（基准报价/报价）×</w:t>
            </w:r>
            <w:r>
              <w:rPr>
                <w:rFonts w:hint="eastAsia" w:ascii="FangSong_GB2312" w:hAnsi="FangSong_GB2312" w:eastAsia="FangSong_GB2312" w:cs="FangSong_GB2312"/>
                <w:sz w:val="32"/>
                <w:szCs w:val="32"/>
                <w:lang w:val="en-US" w:eastAsia="zh-CN"/>
              </w:rPr>
              <w:t>30</w:t>
            </w:r>
            <w:r>
              <w:rPr>
                <w:rFonts w:hint="eastAsia" w:ascii="FangSong_GB2312" w:hAnsi="FangSong_GB2312" w:eastAsia="FangSong_GB2312" w:cs="FangSong_GB2312"/>
                <w:sz w:val="32"/>
                <w:szCs w:val="32"/>
              </w:rPr>
              <w:t>分</w:t>
            </w:r>
            <w:r>
              <w:rPr>
                <w:rFonts w:hint="eastAsia" w:ascii="FangSong_GB2312" w:hAnsi="FangSong_GB2312" w:eastAsia="FangSong_GB2312" w:cs="FangSong_GB2312"/>
                <w:sz w:val="32"/>
                <w:szCs w:val="32"/>
                <w:lang w:eastAsia="zh-CN"/>
              </w:rPr>
              <w:t>。</w:t>
            </w:r>
          </w:p>
        </w:tc>
      </w:tr>
      <w:tr w14:paraId="3C2B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2063" w:type="dxa"/>
            <w:noWrap/>
            <w:tcMar>
              <w:top w:w="0" w:type="dxa"/>
              <w:left w:w="0" w:type="dxa"/>
              <w:bottom w:w="0" w:type="dxa"/>
              <w:right w:w="0" w:type="dxa"/>
            </w:tcMar>
            <w:vAlign w:val="center"/>
          </w:tcPr>
          <w:p w14:paraId="17131C6B">
            <w:pPr>
              <w:adjustRightInd w:val="0"/>
              <w:snapToGrid w:val="0"/>
              <w:spacing w:line="276" w:lineRule="auto"/>
              <w:jc w:val="center"/>
              <w:rPr>
                <w:rFonts w:hint="eastAsia"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企业业绩</w:t>
            </w:r>
          </w:p>
          <w:p w14:paraId="67923B1B">
            <w:pPr>
              <w:adjustRightInd w:val="0"/>
              <w:snapToGrid w:val="0"/>
              <w:spacing w:line="276" w:lineRule="auto"/>
              <w:jc w:val="center"/>
              <w:rPr>
                <w:rFonts w:hint="eastAsia"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w:t>
            </w:r>
            <w:r>
              <w:rPr>
                <w:rFonts w:hint="eastAsia" w:ascii="FangSong_GB2312" w:hAnsi="FangSong_GB2312" w:eastAsia="FangSong_GB2312" w:cs="FangSong_GB2312"/>
                <w:b/>
                <w:bCs/>
                <w:sz w:val="32"/>
                <w:szCs w:val="32"/>
                <w:lang w:val="en-US" w:eastAsia="zh-CN"/>
              </w:rPr>
              <w:t>15</w:t>
            </w:r>
            <w:r>
              <w:rPr>
                <w:rFonts w:hint="eastAsia" w:ascii="FangSong_GB2312" w:hAnsi="FangSong_GB2312" w:eastAsia="FangSong_GB2312" w:cs="FangSong_GB2312"/>
                <w:b/>
                <w:bCs/>
                <w:sz w:val="32"/>
                <w:szCs w:val="32"/>
              </w:rPr>
              <w:t>分）</w:t>
            </w:r>
          </w:p>
        </w:tc>
        <w:tc>
          <w:tcPr>
            <w:tcW w:w="6786" w:type="dxa"/>
            <w:noWrap/>
            <w:tcMar>
              <w:top w:w="0" w:type="dxa"/>
              <w:left w:w="0" w:type="dxa"/>
              <w:bottom w:w="0" w:type="dxa"/>
              <w:right w:w="0" w:type="dxa"/>
            </w:tcMar>
            <w:vAlign w:val="center"/>
          </w:tcPr>
          <w:p w14:paraId="5E6CB5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FangSong_GB2312" w:hAnsi="FangSong_GB2312" w:eastAsia="FangSong_GB2312" w:cs="FangSong_GB2312"/>
                <w:kern w:val="2"/>
                <w:sz w:val="21"/>
                <w:szCs w:val="24"/>
                <w:lang w:val="en-US" w:eastAsia="zh-CN" w:bidi="ar-SA"/>
              </w:rPr>
            </w:pPr>
            <w:r>
              <w:rPr>
                <w:rFonts w:hint="eastAsia" w:ascii="仿宋_GB2312" w:hAnsi="仿宋_GB2312" w:eastAsia="仿宋_GB2312" w:cs="仿宋_GB2312"/>
                <w:kern w:val="2"/>
                <w:sz w:val="32"/>
                <w:szCs w:val="32"/>
                <w:lang w:val="en-US" w:eastAsia="zh-CN" w:bidi="ar-SA"/>
              </w:rPr>
              <w:t>投标人提供自2023年1月1号起的照明节能服务项目业绩合同，每提供一项得5分，本项最多得15分（以合同签订时间为准）。</w:t>
            </w:r>
          </w:p>
        </w:tc>
      </w:tr>
      <w:tr w14:paraId="7425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063" w:type="dxa"/>
            <w:noWrap/>
            <w:tcMar>
              <w:top w:w="0" w:type="dxa"/>
              <w:left w:w="0" w:type="dxa"/>
              <w:bottom w:w="0" w:type="dxa"/>
              <w:right w:w="0" w:type="dxa"/>
            </w:tcMar>
            <w:vAlign w:val="center"/>
          </w:tcPr>
          <w:p w14:paraId="3965B25C">
            <w:pPr>
              <w:adjustRightInd w:val="0"/>
              <w:snapToGrid w:val="0"/>
              <w:spacing w:line="276" w:lineRule="auto"/>
              <w:jc w:val="center"/>
              <w:rPr>
                <w:rFonts w:hint="eastAsia" w:ascii="FangSong_GB2312" w:hAnsi="FangSong_GB2312" w:eastAsia="FangSong_GB2312" w:cs="FangSong_GB2312"/>
                <w:b/>
                <w:bCs/>
                <w:sz w:val="32"/>
                <w:szCs w:val="32"/>
                <w:lang w:val="en-US" w:eastAsia="zh-CN"/>
              </w:rPr>
            </w:pPr>
            <w:r>
              <w:rPr>
                <w:rFonts w:hint="eastAsia" w:ascii="FangSong_GB2312" w:hAnsi="FangSong_GB2312" w:eastAsia="FangSong_GB2312" w:cs="FangSong_GB2312"/>
                <w:b/>
                <w:bCs/>
                <w:sz w:val="32"/>
                <w:szCs w:val="32"/>
                <w:lang w:val="en-US" w:eastAsia="zh-CN"/>
              </w:rPr>
              <w:t>企业实力</w:t>
            </w:r>
          </w:p>
          <w:p w14:paraId="5B7E8F50">
            <w:pPr>
              <w:adjustRightInd w:val="0"/>
              <w:snapToGrid w:val="0"/>
              <w:spacing w:line="276" w:lineRule="auto"/>
              <w:jc w:val="center"/>
              <w:rPr>
                <w:rFonts w:hint="eastAsia"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w:t>
            </w:r>
            <w:r>
              <w:rPr>
                <w:rFonts w:hint="eastAsia" w:ascii="FangSong_GB2312" w:hAnsi="FangSong_GB2312" w:eastAsia="FangSong_GB2312" w:cs="FangSong_GB2312"/>
                <w:b/>
                <w:bCs/>
                <w:sz w:val="32"/>
                <w:szCs w:val="32"/>
                <w:lang w:val="en-US" w:eastAsia="zh-CN"/>
              </w:rPr>
              <w:t>20</w:t>
            </w:r>
            <w:r>
              <w:rPr>
                <w:rFonts w:hint="eastAsia" w:ascii="FangSong_GB2312" w:hAnsi="FangSong_GB2312" w:eastAsia="FangSong_GB2312" w:cs="FangSong_GB2312"/>
                <w:b/>
                <w:bCs/>
                <w:sz w:val="32"/>
                <w:szCs w:val="32"/>
              </w:rPr>
              <w:t>分）</w:t>
            </w:r>
          </w:p>
        </w:tc>
        <w:tc>
          <w:tcPr>
            <w:tcW w:w="6786" w:type="dxa"/>
            <w:noWrap/>
            <w:tcMar>
              <w:top w:w="0" w:type="dxa"/>
              <w:left w:w="0" w:type="dxa"/>
              <w:bottom w:w="0" w:type="dxa"/>
              <w:right w:w="0" w:type="dxa"/>
            </w:tcMar>
            <w:vAlign w:val="center"/>
          </w:tcPr>
          <w:p w14:paraId="3048DD22">
            <w:pPr>
              <w:widowControl/>
              <w:numPr>
                <w:ilvl w:val="0"/>
                <w:numId w:val="0"/>
              </w:numPr>
              <w:adjustRightInd w:val="0"/>
              <w:snapToGrid w:val="0"/>
              <w:spacing w:line="27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具有国家认证认可监督管理委员会认可的从业机构出具的有效期内①.IS09001质量管理体系认证证书、②.IS027001信息安全管理体系认证证书、③.IS020000-1信息技术服务管理体系认证证书。全部提供得4分，缺一项不得分。</w:t>
            </w:r>
          </w:p>
          <w:p w14:paraId="16439862">
            <w:pPr>
              <w:widowControl/>
              <w:numPr>
                <w:ilvl w:val="0"/>
                <w:numId w:val="0"/>
              </w:numPr>
              <w:adjustRightInd w:val="0"/>
              <w:snapToGrid w:val="0"/>
              <w:spacing w:line="27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2、拟派运维人员中每有1名具备河南省应急管理厅颁发的低压电工作业证书，得3分，本项最高得6分。（需要提供人员身份证和证书扫描件）。</w:t>
            </w:r>
          </w:p>
          <w:p w14:paraId="62A50035">
            <w:pPr>
              <w:widowControl/>
              <w:numPr>
                <w:ilvl w:val="0"/>
                <w:numId w:val="0"/>
              </w:numPr>
              <w:adjustRightInd w:val="0"/>
              <w:snapToGrid w:val="0"/>
              <w:spacing w:line="27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3、拟派运维人员中每有1名具备河南省应急管理厅颁发的登高作业证书，得3分，本项最高得6分。（需要提供人员身份证和证书扫描件）。</w:t>
            </w:r>
          </w:p>
          <w:p w14:paraId="323D93F8">
            <w:pPr>
              <w:widowControl/>
              <w:numPr>
                <w:ilvl w:val="0"/>
                <w:numId w:val="0"/>
              </w:numPr>
              <w:adjustRightInd w:val="0"/>
              <w:snapToGrid w:val="0"/>
              <w:spacing w:line="276" w:lineRule="auto"/>
              <w:ind w:firstLine="640" w:firstLineChars="200"/>
              <w:rPr>
                <w:rFonts w:hint="eastAsia" w:ascii="FangSong_GB2312" w:hAnsi="FangSong_GB2312" w:eastAsia="FangSong_GB2312" w:cs="FangSong_GB2312"/>
                <w:lang w:val="en-US" w:eastAsia="zh-CN"/>
              </w:rPr>
            </w:pPr>
            <w:r>
              <w:rPr>
                <w:rFonts w:hint="eastAsia" w:ascii="仿宋_GB2312" w:hAnsi="仿宋_GB2312" w:eastAsia="仿宋_GB2312" w:cs="仿宋_GB2312"/>
                <w:sz w:val="32"/>
                <w:szCs w:val="32"/>
                <w:lang w:val="en-US" w:eastAsia="zh-CN"/>
              </w:rPr>
              <w:t>4、投标人本项目配备1名项目负责人，具备PMP认证证书，满足得4分，其他情况不得分。（需要提供人员身份证和证书扫描件）。</w:t>
            </w:r>
          </w:p>
        </w:tc>
      </w:tr>
      <w:tr w14:paraId="253E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2063" w:type="dxa"/>
            <w:noWrap/>
            <w:tcMar>
              <w:top w:w="0" w:type="dxa"/>
              <w:left w:w="0" w:type="dxa"/>
              <w:bottom w:w="0" w:type="dxa"/>
              <w:right w:w="0" w:type="dxa"/>
            </w:tcMar>
            <w:vAlign w:val="center"/>
          </w:tcPr>
          <w:p w14:paraId="535E7626">
            <w:pPr>
              <w:adjustRightInd w:val="0"/>
              <w:snapToGrid w:val="0"/>
              <w:spacing w:line="276" w:lineRule="auto"/>
              <w:jc w:val="center"/>
              <w:rPr>
                <w:rFonts w:hint="eastAsia" w:ascii="FangSong_GB2312" w:hAnsi="FangSong_GB2312" w:eastAsia="FangSong_GB2312" w:cs="FangSong_GB2312"/>
                <w:b/>
                <w:bCs/>
                <w:sz w:val="32"/>
                <w:szCs w:val="32"/>
                <w:lang w:val="en-US" w:eastAsia="zh-CN"/>
              </w:rPr>
            </w:pPr>
            <w:r>
              <w:rPr>
                <w:rFonts w:hint="eastAsia" w:ascii="FangSong_GB2312" w:hAnsi="FangSong_GB2312" w:eastAsia="FangSong_GB2312" w:cs="FangSong_GB2312"/>
                <w:b/>
                <w:bCs/>
                <w:sz w:val="32"/>
                <w:szCs w:val="32"/>
                <w:lang w:val="en-US" w:eastAsia="zh-CN"/>
              </w:rPr>
              <w:t>服务方案</w:t>
            </w:r>
          </w:p>
          <w:p w14:paraId="5CEB9DD6">
            <w:pPr>
              <w:adjustRightInd w:val="0"/>
              <w:snapToGrid w:val="0"/>
              <w:spacing w:line="276" w:lineRule="auto"/>
              <w:jc w:val="center"/>
              <w:rPr>
                <w:rFonts w:hint="eastAsia" w:ascii="FangSong_GB2312" w:hAnsi="FangSong_GB2312" w:eastAsia="FangSong_GB2312" w:cs="FangSong_GB2312"/>
                <w:kern w:val="2"/>
                <w:sz w:val="32"/>
                <w:szCs w:val="32"/>
                <w:lang w:val="en-US" w:eastAsia="zh-CN" w:bidi="ar-SA"/>
              </w:rPr>
            </w:pPr>
            <w:r>
              <w:rPr>
                <w:rFonts w:hint="eastAsia" w:ascii="FangSong_GB2312" w:hAnsi="FangSong_GB2312" w:eastAsia="FangSong_GB2312" w:cs="FangSong_GB2312"/>
                <w:b/>
                <w:bCs/>
                <w:sz w:val="32"/>
                <w:szCs w:val="32"/>
                <w:lang w:val="en-US" w:eastAsia="zh-CN"/>
              </w:rPr>
              <w:t>（35分）</w:t>
            </w:r>
          </w:p>
        </w:tc>
        <w:tc>
          <w:tcPr>
            <w:tcW w:w="6786" w:type="dxa"/>
            <w:noWrap/>
            <w:tcMar>
              <w:top w:w="0" w:type="dxa"/>
              <w:left w:w="0" w:type="dxa"/>
              <w:bottom w:w="0" w:type="dxa"/>
              <w:right w:w="0" w:type="dxa"/>
            </w:tcMar>
            <w:vAlign w:val="center"/>
          </w:tcPr>
          <w:p w14:paraId="7D7A56AC">
            <w:pPr>
              <w:widowControl/>
              <w:numPr>
                <w:ilvl w:val="0"/>
                <w:numId w:val="2"/>
              </w:numPr>
              <w:adjustRightInd w:val="0"/>
              <w:snapToGrid w:val="0"/>
              <w:spacing w:line="276" w:lineRule="auto"/>
              <w:ind w:leftChars="0" w:firstLine="640" w:firstLineChars="200"/>
              <w:rPr>
                <w:rFonts w:hint="eastAsia" w:ascii="FangSong_GB2312" w:hAnsi="FangSong_GB2312" w:eastAsia="FangSong_GB2312" w:cs="FangSong_GB2312"/>
                <w:kern w:val="2"/>
                <w:sz w:val="32"/>
                <w:szCs w:val="32"/>
                <w:lang w:val="en-US" w:eastAsia="zh-CN" w:bidi="ar-SA"/>
              </w:rPr>
            </w:pPr>
            <w:r>
              <w:rPr>
                <w:rFonts w:hint="eastAsia" w:ascii="FangSong_GB2312" w:hAnsi="FangSong_GB2312" w:eastAsia="FangSong_GB2312" w:cs="FangSong_GB2312"/>
                <w:kern w:val="2"/>
                <w:sz w:val="32"/>
                <w:szCs w:val="32"/>
                <w:lang w:val="en-US" w:eastAsia="zh-CN" w:bidi="ar-SA"/>
              </w:rPr>
              <w:t>投标人针对本项目的施工组织设计、施工人员安排计划、施工进度安排计划、施工质量保证措施进行打分，描述详细、完善、合理、可行的得7-10分；较完善、合理、可行的得3-6分；描述不全面、不详细、不合理、不可行的得0-2分；缺项不得分。</w:t>
            </w:r>
          </w:p>
          <w:p w14:paraId="0FA4E4F2">
            <w:pPr>
              <w:widowControl/>
              <w:numPr>
                <w:ilvl w:val="0"/>
                <w:numId w:val="2"/>
              </w:numPr>
              <w:adjustRightInd w:val="0"/>
              <w:snapToGrid w:val="0"/>
              <w:spacing w:line="276" w:lineRule="auto"/>
              <w:ind w:left="0" w:leftChars="0" w:firstLine="640" w:firstLineChars="200"/>
              <w:rPr>
                <w:rFonts w:hint="eastAsia" w:ascii="FangSong_GB2312" w:hAnsi="FangSong_GB2312" w:eastAsia="FangSong_GB2312" w:cs="FangSong_GB2312"/>
                <w:kern w:val="2"/>
                <w:sz w:val="32"/>
                <w:szCs w:val="32"/>
                <w:lang w:val="en-US" w:eastAsia="zh-CN" w:bidi="ar-SA"/>
              </w:rPr>
            </w:pPr>
            <w:r>
              <w:rPr>
                <w:rFonts w:hint="eastAsia" w:ascii="FangSong_GB2312" w:hAnsi="FangSong_GB2312" w:eastAsia="FangSong_GB2312" w:cs="FangSong_GB2312"/>
                <w:kern w:val="2"/>
                <w:sz w:val="32"/>
                <w:szCs w:val="32"/>
                <w:lang w:val="en-US" w:eastAsia="zh-CN" w:bidi="ar-SA"/>
              </w:rPr>
              <w:t>针对本项目特点，提供完整的售后服务方案，包括但不限于：安装调测方案、故障处理方案、解决问题时间运维人员安排、售后服务响应时间。描述详细、完善、合理、可行的得7-10分；较完善、合理、可行的得3-6分；描述不全面、不详细、不合理、不可行的得0-2分；缺项不得分。</w:t>
            </w:r>
          </w:p>
          <w:p w14:paraId="263B6F15">
            <w:pPr>
              <w:widowControl/>
              <w:numPr>
                <w:ilvl w:val="0"/>
                <w:numId w:val="2"/>
              </w:numPr>
              <w:adjustRightInd w:val="0"/>
              <w:snapToGrid w:val="0"/>
              <w:spacing w:line="276" w:lineRule="auto"/>
              <w:ind w:left="0" w:leftChars="0" w:firstLine="640" w:firstLineChars="200"/>
              <w:rPr>
                <w:rFonts w:hint="eastAsia" w:ascii="FangSong_GB2312" w:hAnsi="FangSong_GB2312" w:eastAsia="FangSong_GB2312" w:cs="FangSong_GB2312"/>
                <w:kern w:val="2"/>
                <w:sz w:val="32"/>
                <w:szCs w:val="32"/>
                <w:lang w:val="en-US" w:eastAsia="zh-CN" w:bidi="ar-SA"/>
              </w:rPr>
            </w:pPr>
            <w:r>
              <w:rPr>
                <w:rFonts w:hint="eastAsia" w:ascii="FangSong_GB2312" w:hAnsi="FangSong_GB2312" w:eastAsia="FangSong_GB2312" w:cs="FangSong_GB2312"/>
                <w:kern w:val="2"/>
                <w:sz w:val="32"/>
                <w:szCs w:val="32"/>
                <w:lang w:val="en-US" w:eastAsia="zh-CN" w:bidi="ar-SA"/>
              </w:rPr>
              <w:t>针对本项目特点，提供完整的培训方案，包括但不限于：培训计划、培训的内容和范围、培训时间的安排及周期。描述详细、完善、合理、可行的得7-10分；较完善、合理、可行的得3-6分；描述不全面、不详细、不合理、不可行的得0-2分；缺项不得分。</w:t>
            </w:r>
          </w:p>
          <w:p w14:paraId="1E48E89D">
            <w:pPr>
              <w:widowControl/>
              <w:numPr>
                <w:ilvl w:val="0"/>
                <w:numId w:val="0"/>
              </w:numPr>
              <w:adjustRightInd w:val="0"/>
              <w:snapToGrid w:val="0"/>
              <w:spacing w:line="276" w:lineRule="auto"/>
              <w:ind w:firstLine="640" w:firstLineChars="200"/>
              <w:rPr>
                <w:rFonts w:hint="eastAsia" w:ascii="FangSong_GB2312" w:hAnsi="FangSong_GB2312" w:eastAsia="FangSong_GB2312" w:cs="FangSong_GB2312"/>
                <w:kern w:val="2"/>
                <w:sz w:val="32"/>
                <w:szCs w:val="32"/>
                <w:lang w:val="en-US" w:eastAsia="zh-CN" w:bidi="ar-SA"/>
              </w:rPr>
            </w:pPr>
            <w:r>
              <w:rPr>
                <w:rFonts w:hint="eastAsia" w:ascii="FangSong_GB2312" w:hAnsi="FangSong_GB2312" w:eastAsia="FangSong_GB2312" w:cs="FangSong_GB2312"/>
                <w:kern w:val="2"/>
                <w:sz w:val="32"/>
                <w:szCs w:val="32"/>
                <w:lang w:val="en-US" w:eastAsia="zh-CN" w:bidi="ar-SA"/>
              </w:rPr>
              <w:t>4、针对本项目特点，提供完整的人员管理、安全管理方案，包括但不限于：服务人员的稳定性、人员培训考核、安全运维管理措施、突发事件应急预案、文明运维的组织管理措施。描述详细、完善、合理、可行的得4-5分；较完善、合理、可行的得2-3分；描述不全面、不详细、不合理、不可行的得0-1分；缺项不得分。</w:t>
            </w:r>
          </w:p>
        </w:tc>
      </w:tr>
    </w:tbl>
    <w:p w14:paraId="76AAE9F5">
      <w:pPr>
        <w:spacing w:line="580" w:lineRule="exact"/>
        <w:ind w:firstLine="643" w:firstLineChars="200"/>
        <w:rPr>
          <w:rFonts w:ascii="楷体_GB2312" w:hAnsi="楷体" w:eastAsia="楷体_GB2312" w:cs="楷体"/>
          <w:b/>
          <w:kern w:val="0"/>
          <w:sz w:val="32"/>
          <w:szCs w:val="32"/>
        </w:rPr>
      </w:pPr>
      <w:r>
        <w:rPr>
          <w:rFonts w:hint="eastAsia" w:ascii="楷体_GB2312" w:hAnsi="楷体" w:eastAsia="楷体_GB2312" w:cs="楷体"/>
          <w:b/>
          <w:kern w:val="0"/>
          <w:sz w:val="32"/>
          <w:szCs w:val="32"/>
        </w:rPr>
        <w:t>（三）推荐中标候选人</w:t>
      </w:r>
    </w:p>
    <w:p w14:paraId="7ECCAE3D">
      <w:pPr>
        <w:spacing w:line="560" w:lineRule="exact"/>
        <w:ind w:firstLine="640" w:firstLineChars="200"/>
        <w:rPr>
          <w:rFonts w:ascii="FangSong_GB2312" w:hAnsi="FangSong_GB2312" w:eastAsia="FangSong_GB2312" w:cs="FangSong_GB2312"/>
          <w:sz w:val="32"/>
          <w:szCs w:val="32"/>
        </w:rPr>
      </w:pPr>
      <w:r>
        <w:rPr>
          <w:rFonts w:hint="eastAsia" w:ascii="仿宋" w:hAnsi="仿宋" w:eastAsia="仿宋" w:cs="仿宋"/>
          <w:sz w:val="32"/>
          <w:szCs w:val="32"/>
          <w:lang w:val="zh-CN"/>
        </w:rPr>
        <w:t>评审小组根据综合评分情况，按照评审得分由高到低顺序推荐</w:t>
      </w:r>
      <w:r>
        <w:rPr>
          <w:rFonts w:ascii="仿宋" w:hAnsi="仿宋" w:eastAsia="仿宋" w:cs="仿宋"/>
          <w:sz w:val="32"/>
          <w:szCs w:val="32"/>
        </w:rPr>
        <w:t>1</w:t>
      </w:r>
      <w:r>
        <w:rPr>
          <w:rFonts w:hint="eastAsia" w:ascii="仿宋" w:hAnsi="仿宋" w:eastAsia="仿宋" w:cs="仿宋"/>
          <w:sz w:val="32"/>
          <w:szCs w:val="32"/>
          <w:lang w:val="zh-CN"/>
        </w:rPr>
        <w:t>名中标候选人。</w:t>
      </w:r>
      <w:r>
        <w:rPr>
          <w:rFonts w:hint="eastAsia" w:ascii="FangSong_GB2312" w:hAnsi="FangSong_GB2312" w:eastAsia="FangSong_GB2312" w:cs="FangSong_GB2312"/>
          <w:sz w:val="32"/>
          <w:szCs w:val="32"/>
        </w:rPr>
        <w:t>如最高得分为两家或两家以上时，由采购人组成的磋商小组进行磋商确定。</w:t>
      </w:r>
    </w:p>
    <w:p w14:paraId="4B05D947">
      <w:pPr>
        <w:pStyle w:val="7"/>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3C29547F"/>
    <w:p w14:paraId="6F436FAF"/>
    <w:p w14:paraId="46279460"/>
    <w:p w14:paraId="1FA39673"/>
    <w:p w14:paraId="773F150A"/>
    <w:p w14:paraId="267B3FE6"/>
    <w:p w14:paraId="5B797B8D"/>
    <w:p w14:paraId="610C107D"/>
    <w:p w14:paraId="3F3C9C6F"/>
    <w:p w14:paraId="15B92168"/>
    <w:p w14:paraId="6772B636"/>
    <w:p w14:paraId="3AB42077"/>
    <w:p w14:paraId="334B67A8"/>
    <w:p w14:paraId="2C732B6D"/>
    <w:p w14:paraId="3383EECA"/>
    <w:p w14:paraId="2591966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附件3</w:t>
      </w:r>
    </w:p>
    <w:p w14:paraId="53D3D624">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1060ABF5">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72A1C4EF">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10DF58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4B2CB56D">
      <w:pPr>
        <w:pStyle w:val="11"/>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7C17131A">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2D529BC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3E9EF0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76F0E672">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7CFAF062">
      <w:pPr>
        <w:ind w:firstLine="6400" w:firstLineChars="2000"/>
        <w:rPr>
          <w:rFonts w:hint="default" w:ascii="Times New Roman" w:hAnsi="Times New Roman" w:eastAsia="仿宋_GB2312" w:cs="Times New Roman"/>
          <w:sz w:val="32"/>
          <w:szCs w:val="32"/>
        </w:rPr>
      </w:pPr>
    </w:p>
    <w:p w14:paraId="53D2C211">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71560B44">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75416961">
      <w:pPr>
        <w:keepNext w:val="0"/>
        <w:keepLines w:val="0"/>
        <w:pageBreakBefore w:val="0"/>
        <w:shd w:val="clear"/>
        <w:kinsoku/>
        <w:wordWrap/>
        <w:overflowPunct/>
        <w:topLinePunct w:val="0"/>
        <w:autoSpaceDE/>
        <w:autoSpaceDN/>
        <w:bidi w:val="0"/>
        <w:adjustRightInd/>
        <w:snapToGrid/>
        <w:spacing w:line="520" w:lineRule="exact"/>
        <w:rPr>
          <w:rFonts w:hint="default" w:ascii="Times New Roman" w:hAnsi="Times New Roman" w:cs="Times New Roman" w:eastAsiaTheme="minorEastAsia"/>
          <w:highlight w:val="none"/>
          <w:lang w:val="en-US" w:eastAsia="zh-CN"/>
        </w:rPr>
      </w:pPr>
    </w:p>
    <w:p w14:paraId="2D5655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18030">
    <w:altName w:val="仿宋"/>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68EBE"/>
    <w:multiLevelType w:val="singleLevel"/>
    <w:tmpl w:val="CEB68EBE"/>
    <w:lvl w:ilvl="0" w:tentative="0">
      <w:start w:val="1"/>
      <w:numFmt w:val="decimal"/>
      <w:suff w:val="nothing"/>
      <w:lvlText w:val="%1、"/>
      <w:lvlJc w:val="left"/>
    </w:lvl>
  </w:abstractNum>
  <w:abstractNum w:abstractNumId="1">
    <w:nsid w:val="18A1AE47"/>
    <w:multiLevelType w:val="singleLevel"/>
    <w:tmpl w:val="18A1AE4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353F3"/>
    <w:rsid w:val="441E2286"/>
    <w:rsid w:val="63271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firstLineChars="200"/>
      <w:jc w:val="left"/>
      <w:textAlignment w:val="baseline"/>
    </w:pPr>
    <w:rPr>
      <w:rFonts w:ascii="Times New Roman" w:hAnsi="Times New Roman"/>
      <w:kern w:val="0"/>
      <w:szCs w:val="20"/>
    </w:rPr>
  </w:style>
  <w:style w:type="paragraph" w:styleId="3">
    <w:name w:val="Body Text"/>
    <w:basedOn w:val="1"/>
    <w:next w:val="1"/>
    <w:qFormat/>
    <w:uiPriority w:val="0"/>
    <w:pPr>
      <w:spacing w:afterLines="0" w:afterAutospacing="0"/>
      <w:ind w:firstLine="723" w:firstLineChars="200"/>
    </w:pPr>
    <w:rPr>
      <w:rFonts w:asciiTheme="minorAscii" w:hAnsiTheme="minorAscii"/>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widowControl w:val="0"/>
      <w:snapToGrid w:val="0"/>
      <w:jc w:val="both"/>
    </w:pPr>
    <w:rPr>
      <w:rFonts w:ascii="Arial" w:hAnsi="Arial" w:eastAsia="宋体" w:cs="Times New Roman"/>
      <w:kern w:val="2"/>
      <w:sz w:val="21"/>
      <w:szCs w:val="22"/>
      <w:lang w:val="en-US" w:eastAsia="zh-CN" w:bidi="ar-SA"/>
    </w:rPr>
  </w:style>
  <w:style w:type="paragraph" w:styleId="6">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7">
    <w:name w:val="Body Text First Indent 2"/>
    <w:basedOn w:val="4"/>
    <w:next w:val="2"/>
    <w:qFormat/>
    <w:uiPriority w:val="0"/>
    <w:pPr>
      <w:adjustRightInd w:val="0"/>
      <w:snapToGrid w:val="0"/>
      <w:spacing w:beforeAutospacing="1" w:afterAutospacing="1" w:line="360" w:lineRule="auto"/>
      <w:ind w:left="480" w:firstLine="562" w:firstLineChars="200"/>
      <w:jc w:val="left"/>
    </w:pPr>
    <w:rPr>
      <w:rFonts w:hint="eastAsia" w:ascii="FangSong_GB2312" w:hAnsi="FangSong_GB2312" w:cs="Times New Roman"/>
      <w:szCs w:val="30"/>
      <w:lang w:eastAsia="en-US"/>
    </w:rPr>
  </w:style>
  <w:style w:type="paragraph" w:customStyle="1" w:styleId="10">
    <w:name w:val="纯文本1"/>
    <w:basedOn w:val="1"/>
    <w:qFormat/>
    <w:uiPriority w:val="99"/>
    <w:rPr>
      <w:sz w:val="24"/>
    </w:rPr>
  </w:style>
  <w:style w:type="paragraph" w:customStyle="1" w:styleId="11">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1519</Words>
  <Characters>1597</Characters>
  <Lines>0</Lines>
  <Paragraphs>0</Paragraphs>
  <TotalTime>0</TotalTime>
  <ScaleCrop>false</ScaleCrop>
  <LinksUpToDate>false</LinksUpToDate>
  <CharactersWithSpaces>1611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2026-01-13T03:41:00Z</dcterms:created>
  <dc:creator>ADMIN</dc:creator>
  <cp:lastModifiedBy>WPS_1658882146</cp:lastModifiedBy>
  <dcterms:modified xsi:type="dcterms:W3CDTF">2026-01-15T06:49:54Z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eyJoZGlkIjoiYjgzZTcwOWU0ZGJiNmI3ZGViMDIzOTgyZjUwYTNjNWMiLCJ1c2VySWQiOiI3NTE2MzQ3MzMifQ==</vt:lpwstr>
  </property>
  <property fmtid="{D5CDD505-2E9C-101B-9397-08002B2CF9AE}" pid="4" name="ICV">
    <vt:lpwstr>507C1A1991134805BE6F7A07390196BC_13</vt:lpwstr>
  </property>
</Properties>
</file>