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A2ED38">
      <w:pPr>
        <w:spacing w:line="360" w:lineRule="auto"/>
        <w:jc w:val="right"/>
        <w:outlineLvl w:val="1"/>
        <w:rPr>
          <w:rFonts w:hint="eastAsia" w:ascii="仿宋" w:hAnsi="仿宋" w:eastAsia="仿宋" w:cs="仿宋"/>
          <w:b/>
          <w:bCs/>
          <w:caps/>
          <w:color w:val="auto"/>
          <w:sz w:val="28"/>
          <w:szCs w:val="28"/>
          <w:lang w:val="en-US" w:eastAsia="zh-CN"/>
        </w:rPr>
      </w:pPr>
      <w:r>
        <w:rPr>
          <w:rFonts w:hint="eastAsia" w:ascii="仿宋" w:hAnsi="仿宋" w:eastAsia="仿宋" w:cs="仿宋"/>
          <w:b/>
          <w:bCs/>
          <w:caps/>
          <w:color w:val="auto"/>
          <w:sz w:val="28"/>
          <w:szCs w:val="28"/>
        </w:rPr>
        <w:t>项目编号：</w:t>
      </w:r>
      <w:r>
        <w:rPr>
          <w:rFonts w:hint="eastAsia" w:ascii="仿宋" w:hAnsi="仿宋" w:eastAsia="仿宋" w:cs="仿宋"/>
          <w:b/>
          <w:bCs/>
          <w:caps/>
          <w:color w:val="auto"/>
          <w:sz w:val="28"/>
          <w:szCs w:val="28"/>
          <w:lang w:val="en-US" w:eastAsia="zh-CN"/>
        </w:rPr>
        <w:t>RZB-2025007</w:t>
      </w:r>
      <w:r>
        <w:rPr>
          <w:rFonts w:hint="eastAsia" w:ascii="仿宋" w:hAnsi="仿宋" w:eastAsia="仿宋" w:cs="仿宋"/>
          <w:b/>
          <w:bCs/>
          <w:caps/>
          <w:color w:val="auto"/>
          <w:sz w:val="28"/>
          <w:szCs w:val="28"/>
        </w:rPr>
        <w:t xml:space="preserve">号 </w:t>
      </w:r>
    </w:p>
    <w:p w14:paraId="022BD6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14:paraId="48FBDA0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14:paraId="58784DDA">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许昌城投新能源科技有限公司</w:t>
      </w:r>
    </w:p>
    <w:p w14:paraId="4CC3B0C3">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3年联审合并口径审计</w:t>
      </w:r>
      <w:r>
        <w:rPr>
          <w:rFonts w:hint="eastAsia" w:ascii="方正小标宋简体" w:hAnsi="方正小标宋简体" w:eastAsia="方正小标宋简体" w:cs="方正小标宋简体"/>
          <w:b w:val="0"/>
          <w:bCs w:val="0"/>
          <w:sz w:val="52"/>
          <w:szCs w:val="52"/>
        </w:rPr>
        <w:t>服务</w:t>
      </w:r>
    </w:p>
    <w:p w14:paraId="5DA9F772">
      <w:pPr>
        <w:jc w:val="center"/>
        <w:rPr>
          <w:rFonts w:hint="eastAsia" w:ascii="仿宋" w:hAnsi="仿宋" w:eastAsia="仿宋" w:cs="仿宋"/>
          <w:b/>
          <w:color w:val="auto"/>
          <w:spacing w:val="60"/>
          <w:sz w:val="28"/>
          <w:szCs w:val="28"/>
          <w:shd w:val="clear" w:color="060000" w:fill="auto"/>
        </w:rPr>
      </w:pPr>
    </w:p>
    <w:p w14:paraId="6CCFC07D">
      <w:pPr>
        <w:jc w:val="both"/>
        <w:rPr>
          <w:rFonts w:hint="eastAsia" w:ascii="仿宋" w:hAnsi="仿宋" w:eastAsia="仿宋" w:cs="仿宋"/>
          <w:color w:val="auto"/>
          <w:sz w:val="28"/>
          <w:szCs w:val="28"/>
          <w:shd w:val="clear" w:color="050000" w:fill="auto"/>
        </w:rPr>
      </w:pPr>
    </w:p>
    <w:p w14:paraId="6401AC01">
      <w:pPr>
        <w:jc w:val="center"/>
        <w:rPr>
          <w:rFonts w:hint="eastAsia" w:ascii="仿宋" w:hAnsi="仿宋" w:eastAsia="仿宋" w:cs="仿宋"/>
          <w:color w:val="auto"/>
          <w:sz w:val="28"/>
          <w:szCs w:val="28"/>
          <w:shd w:val="clear" w:color="050000" w:fill="auto"/>
        </w:rPr>
      </w:pPr>
    </w:p>
    <w:p w14:paraId="27F50721">
      <w:pPr>
        <w:rPr>
          <w:rFonts w:hint="eastAsia" w:ascii="仿宋" w:hAnsi="仿宋" w:eastAsia="仿宋" w:cs="仿宋"/>
          <w:color w:val="auto"/>
          <w:sz w:val="28"/>
          <w:szCs w:val="28"/>
          <w:shd w:val="clear" w:color="050000" w:fill="auto"/>
        </w:rPr>
      </w:pPr>
    </w:p>
    <w:p w14:paraId="74CF3A5E">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比 选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7F5CD1D2">
      <w:pPr>
        <w:rPr>
          <w:rFonts w:hint="eastAsia" w:ascii="仿宋" w:hAnsi="仿宋" w:eastAsia="仿宋" w:cs="仿宋"/>
          <w:color w:val="auto"/>
          <w:sz w:val="28"/>
          <w:szCs w:val="28"/>
          <w:shd w:val="clear" w:color="050000" w:fill="auto"/>
        </w:rPr>
      </w:pPr>
    </w:p>
    <w:p w14:paraId="1F284962">
      <w:pPr>
        <w:jc w:val="center"/>
        <w:rPr>
          <w:rFonts w:hint="eastAsia" w:ascii="仿宋" w:hAnsi="仿宋" w:eastAsia="仿宋" w:cs="仿宋"/>
          <w:color w:val="auto"/>
          <w:sz w:val="28"/>
          <w:szCs w:val="28"/>
          <w:shd w:val="clear" w:color="050000" w:fill="auto"/>
        </w:rPr>
      </w:pPr>
    </w:p>
    <w:p w14:paraId="2C8413BE">
      <w:pPr>
        <w:pStyle w:val="38"/>
        <w:jc w:val="both"/>
        <w:rPr>
          <w:rFonts w:hint="eastAsia" w:ascii="仿宋" w:hAnsi="仿宋" w:eastAsia="仿宋" w:cs="仿宋"/>
          <w:color w:val="auto"/>
          <w:sz w:val="28"/>
          <w:szCs w:val="28"/>
          <w:shd w:val="clear" w:color="050000" w:fill="auto"/>
        </w:rPr>
      </w:pPr>
    </w:p>
    <w:p w14:paraId="178F5742">
      <w:pPr>
        <w:jc w:val="center"/>
        <w:rPr>
          <w:rFonts w:hint="eastAsia" w:ascii="仿宋" w:hAnsi="仿宋" w:eastAsia="仿宋" w:cs="仿宋"/>
          <w:color w:val="auto"/>
          <w:sz w:val="28"/>
          <w:szCs w:val="28"/>
          <w:shd w:val="clear" w:color="050000" w:fill="auto"/>
        </w:rPr>
      </w:pPr>
    </w:p>
    <w:p w14:paraId="2A368E88">
      <w:pPr>
        <w:jc w:val="center"/>
        <w:rPr>
          <w:rFonts w:hint="eastAsia" w:ascii="仿宋" w:hAnsi="仿宋" w:eastAsia="仿宋" w:cs="仿宋"/>
          <w:color w:val="auto"/>
          <w:sz w:val="28"/>
          <w:szCs w:val="28"/>
          <w:shd w:val="clear" w:color="050000" w:fill="auto"/>
        </w:rPr>
      </w:pPr>
    </w:p>
    <w:p w14:paraId="616C26F1">
      <w:pPr>
        <w:spacing w:line="360" w:lineRule="auto"/>
        <w:jc w:val="center"/>
        <w:rPr>
          <w:rFonts w:hint="eastAsia" w:ascii="仿宋" w:hAnsi="仿宋" w:eastAsia="仿宋" w:cs="仿宋"/>
          <w:b/>
          <w:bCs/>
          <w:caps/>
          <w:color w:val="auto"/>
          <w:sz w:val="36"/>
          <w:szCs w:val="36"/>
          <w:lang w:eastAsia="zh-CN"/>
        </w:rPr>
      </w:pPr>
      <w:r>
        <w:rPr>
          <w:rFonts w:hint="eastAsia" w:ascii="仿宋" w:hAnsi="仿宋" w:eastAsia="仿宋" w:cs="仿宋"/>
          <w:b/>
          <w:bCs/>
          <w:caps/>
          <w:color w:val="auto"/>
          <w:sz w:val="36"/>
          <w:szCs w:val="36"/>
          <w:lang w:val="en-US" w:eastAsia="zh-CN"/>
        </w:rPr>
        <w:t>比选单位</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lang w:eastAsia="zh-CN"/>
        </w:rPr>
        <w:t>许昌城投新能源科技有限公司</w:t>
      </w:r>
    </w:p>
    <w:p w14:paraId="065307AD">
      <w:pPr>
        <w:spacing w:line="360" w:lineRule="auto"/>
        <w:jc w:val="center"/>
        <w:rPr>
          <w:rFonts w:hint="eastAsia" w:ascii="仿宋" w:hAnsi="仿宋" w:eastAsia="仿宋" w:cs="仿宋"/>
          <w:b/>
          <w:color w:val="auto"/>
          <w:sz w:val="36"/>
          <w:szCs w:val="36"/>
          <w:shd w:val="clear" w:color="060000" w:fill="auto"/>
        </w:rPr>
      </w:pPr>
    </w:p>
    <w:p w14:paraId="77645F2D">
      <w:pPr>
        <w:spacing w:line="360" w:lineRule="auto"/>
        <w:jc w:val="center"/>
        <w:rPr>
          <w:rFonts w:hint="eastAsia" w:ascii="仿宋" w:hAnsi="仿宋" w:eastAsia="仿宋" w:cs="仿宋"/>
          <w:color w:val="auto"/>
          <w:sz w:val="36"/>
          <w:szCs w:val="36"/>
          <w:shd w:val="clear" w:color="050000" w:fill="auto"/>
        </w:rPr>
      </w:pPr>
      <w:r>
        <w:rPr>
          <w:rFonts w:hint="eastAsia" w:ascii="仿宋" w:hAnsi="仿宋" w:eastAsia="仿宋" w:cs="仿宋"/>
          <w:b/>
          <w:color w:val="auto"/>
          <w:sz w:val="36"/>
          <w:szCs w:val="36"/>
          <w:shd w:val="clear" w:color="060000" w:fill="auto"/>
        </w:rPr>
        <w:t>二〇二</w:t>
      </w:r>
      <w:r>
        <w:rPr>
          <w:rFonts w:hint="eastAsia" w:ascii="仿宋" w:hAnsi="仿宋" w:eastAsia="仿宋" w:cs="仿宋"/>
          <w:b/>
          <w:color w:val="auto"/>
          <w:sz w:val="36"/>
          <w:szCs w:val="36"/>
          <w:shd w:val="clear" w:color="060000" w:fill="auto"/>
          <w:lang w:eastAsia="zh-CN"/>
        </w:rPr>
        <w:t>五</w:t>
      </w:r>
      <w:r>
        <w:rPr>
          <w:rFonts w:hint="eastAsia" w:ascii="仿宋" w:hAnsi="仿宋" w:eastAsia="仿宋" w:cs="仿宋"/>
          <w:b/>
          <w:color w:val="auto"/>
          <w:sz w:val="36"/>
          <w:szCs w:val="36"/>
          <w:shd w:val="clear" w:color="060000" w:fill="auto"/>
        </w:rPr>
        <w:t>年</w:t>
      </w:r>
      <w:r>
        <w:rPr>
          <w:rFonts w:hint="eastAsia" w:ascii="仿宋" w:hAnsi="仿宋" w:eastAsia="仿宋" w:cs="仿宋"/>
          <w:b/>
          <w:color w:val="auto"/>
          <w:sz w:val="36"/>
          <w:szCs w:val="36"/>
          <w:shd w:val="clear" w:color="060000" w:fill="auto"/>
          <w:lang w:val="en-US" w:eastAsia="zh-CN"/>
        </w:rPr>
        <w:t>十二</w:t>
      </w:r>
      <w:r>
        <w:rPr>
          <w:rFonts w:hint="eastAsia" w:ascii="仿宋" w:hAnsi="仿宋" w:eastAsia="仿宋" w:cs="仿宋"/>
          <w:b/>
          <w:color w:val="auto"/>
          <w:sz w:val="36"/>
          <w:szCs w:val="36"/>
          <w:shd w:val="clear" w:color="060000" w:fill="auto"/>
        </w:rPr>
        <w:t>月</w:t>
      </w:r>
    </w:p>
    <w:p w14:paraId="21963E78">
      <w:pPr>
        <w:pStyle w:val="26"/>
        <w:ind w:firstLine="0" w:firstLineChars="0"/>
        <w:rPr>
          <w:rFonts w:hint="eastAsia" w:ascii="仿宋" w:hAnsi="仿宋" w:eastAsia="仿宋" w:cs="仿宋"/>
          <w:color w:val="auto"/>
          <w:sz w:val="24"/>
          <w:szCs w:val="24"/>
        </w:rPr>
      </w:pPr>
    </w:p>
    <w:p w14:paraId="3C4C229B">
      <w:pPr>
        <w:spacing w:line="700" w:lineRule="auto"/>
        <w:ind w:firstLine="551"/>
        <w:jc w:val="center"/>
        <w:rPr>
          <w:rFonts w:hint="eastAsia" w:ascii="仿宋" w:hAnsi="仿宋" w:eastAsia="仿宋" w:cs="仿宋"/>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1742F8ED">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eastAsia" w:ascii="仿宋" w:hAnsi="仿宋" w:eastAsia="仿宋" w:cs="仿宋"/>
          <w:color w:val="auto"/>
          <w:sz w:val="40"/>
          <w:szCs w:val="40"/>
          <w:shd w:val="clear" w:color="060000" w:fill="auto"/>
        </w:rPr>
      </w:pPr>
      <w:r>
        <w:rPr>
          <w:rFonts w:hint="eastAsia" w:ascii="仿宋" w:hAnsi="仿宋" w:eastAsia="仿宋" w:cs="仿宋"/>
          <w:b/>
          <w:color w:val="auto"/>
          <w:sz w:val="40"/>
          <w:szCs w:val="40"/>
          <w:shd w:val="clear" w:color="060000" w:fill="auto"/>
          <w:lang w:eastAsia="zh-CN"/>
        </w:rPr>
        <w:t>比选文件</w:t>
      </w:r>
      <w:r>
        <w:rPr>
          <w:rFonts w:hint="eastAsia" w:ascii="仿宋" w:hAnsi="仿宋" w:eastAsia="仿宋" w:cs="仿宋"/>
          <w:b/>
          <w:color w:val="auto"/>
          <w:sz w:val="40"/>
          <w:szCs w:val="40"/>
          <w:shd w:val="clear" w:color="060000" w:fill="auto"/>
        </w:rPr>
        <w:t>目录</w:t>
      </w:r>
    </w:p>
    <w:p w14:paraId="5966382E">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p>
    <w:p w14:paraId="2269FB7E">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lang w:eastAsia="zh-CN"/>
        </w:rPr>
      </w:pPr>
      <w:r>
        <w:rPr>
          <w:rFonts w:hint="eastAsia" w:ascii="仿宋" w:hAnsi="仿宋" w:eastAsia="仿宋" w:cs="仿宋"/>
          <w:b/>
          <w:color w:val="auto"/>
          <w:sz w:val="32"/>
          <w:szCs w:val="32"/>
          <w:shd w:val="clear" w:color="060000" w:fill="auto"/>
        </w:rPr>
        <w:t xml:space="preserve">第一章 </w:t>
      </w:r>
      <w:r>
        <w:rPr>
          <w:rFonts w:hint="eastAsia" w:ascii="仿宋" w:hAnsi="仿宋" w:eastAsia="仿宋" w:cs="仿宋"/>
          <w:b/>
          <w:color w:val="auto"/>
          <w:sz w:val="32"/>
          <w:szCs w:val="32"/>
          <w:shd w:val="clear" w:color="060000" w:fill="auto"/>
          <w:lang w:val="en-US" w:eastAsia="zh-CN"/>
        </w:rPr>
        <w:t>比选邀请函</w:t>
      </w:r>
    </w:p>
    <w:p w14:paraId="788784E2">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第二章</w:t>
      </w:r>
      <w:r>
        <w:rPr>
          <w:rFonts w:hint="eastAsia" w:ascii="仿宋" w:hAnsi="仿宋" w:eastAsia="仿宋" w:cs="仿宋"/>
          <w:b/>
          <w:color w:val="auto"/>
          <w:sz w:val="32"/>
          <w:szCs w:val="32"/>
          <w:shd w:val="clear" w:color="060000" w:fill="auto"/>
          <w:lang w:val="en-US" w:eastAsia="zh-CN"/>
        </w:rPr>
        <w:t xml:space="preserve"> 采购需求</w:t>
      </w:r>
    </w:p>
    <w:p w14:paraId="6F4AD9E7">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三</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投标人</w:t>
      </w:r>
      <w:r>
        <w:rPr>
          <w:rFonts w:hint="eastAsia" w:ascii="仿宋" w:hAnsi="仿宋" w:eastAsia="仿宋" w:cs="仿宋"/>
          <w:b/>
          <w:color w:val="auto"/>
          <w:sz w:val="32"/>
          <w:szCs w:val="32"/>
          <w:shd w:val="clear" w:color="060000" w:fill="auto"/>
        </w:rPr>
        <w:t>须知</w:t>
      </w:r>
    </w:p>
    <w:p w14:paraId="0396CA1A">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第四章</w:t>
      </w:r>
      <w:r>
        <w:rPr>
          <w:rFonts w:hint="eastAsia" w:ascii="仿宋" w:hAnsi="仿宋" w:eastAsia="仿宋" w:cs="仿宋"/>
          <w:b/>
          <w:color w:val="auto"/>
          <w:sz w:val="32"/>
          <w:szCs w:val="32"/>
          <w:shd w:val="clear" w:color="060000" w:fill="auto"/>
          <w:lang w:val="en-US" w:eastAsia="zh-CN"/>
        </w:rPr>
        <w:t xml:space="preserve"> 评分办法</w:t>
      </w:r>
    </w:p>
    <w:p w14:paraId="29DF8482">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五</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投标文件</w:t>
      </w:r>
      <w:r>
        <w:rPr>
          <w:rFonts w:hint="eastAsia" w:ascii="仿宋" w:hAnsi="仿宋" w:eastAsia="仿宋" w:cs="仿宋"/>
          <w:b/>
          <w:color w:val="auto"/>
          <w:sz w:val="32"/>
          <w:szCs w:val="32"/>
          <w:shd w:val="clear" w:color="060000" w:fill="auto"/>
        </w:rPr>
        <w:t>有关格式</w:t>
      </w:r>
    </w:p>
    <w:p w14:paraId="1A78F1AC">
      <w:pPr>
        <w:jc w:val="left"/>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569FD35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35A3DA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lang w:val="en-US" w:eastAsia="zh-CN"/>
        </w:rPr>
        <w:t>许昌城投新能源科技有限公司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人）拟通过邀请</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的方式选聘</w:t>
      </w:r>
      <w:r>
        <w:rPr>
          <w:rFonts w:hint="eastAsia" w:ascii="仿宋_GB2312" w:hAnsi="仿宋_GB2312" w:eastAsia="仿宋_GB2312" w:cs="仿宋_GB2312"/>
          <w:sz w:val="32"/>
          <w:szCs w:val="32"/>
          <w:lang w:eastAsia="zh-CN"/>
        </w:rPr>
        <w:t>会计师事务所为比选人</w:t>
      </w:r>
      <w:r>
        <w:rPr>
          <w:rFonts w:hint="eastAsia" w:ascii="仿宋_GB2312" w:hAnsi="仿宋_GB2312" w:eastAsia="仿宋_GB2312" w:cs="仿宋_GB2312"/>
          <w:sz w:val="32"/>
          <w:szCs w:val="32"/>
          <w:lang w:val="en-US" w:eastAsia="zh-CN"/>
        </w:rPr>
        <w:t>2022年、2023年、2024年财务情况进行审计并出具3年联审（2022年、2023年、2024年）合并口径审计报告及最近1期财务报表，出具后的合并口径审计报告及最近1期财务报表需获得证券交易所、证券机构和金融机构认可，可作为注册发行债券产品和金融机构融资的要件使用。</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申请人参加。</w:t>
      </w:r>
    </w:p>
    <w:p w14:paraId="3CE4BF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w:t>
      </w:r>
      <w:r>
        <w:rPr>
          <w:rFonts w:hint="eastAsia" w:ascii="仿宋_GB2312" w:hAnsi="仿宋_GB2312" w:eastAsia="仿宋_GB2312" w:cs="仿宋_GB2312"/>
          <w:b/>
          <w:bCs w:val="0"/>
          <w:sz w:val="32"/>
          <w:szCs w:val="32"/>
        </w:rPr>
        <w:t>概况</w:t>
      </w:r>
    </w:p>
    <w:p w14:paraId="0A179E6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比选项目名称：</w:t>
      </w:r>
      <w:r>
        <w:rPr>
          <w:rFonts w:hint="eastAsia" w:ascii="仿宋_GB2312" w:hAnsi="仿宋_GB2312" w:eastAsia="仿宋_GB2312" w:cs="仿宋_GB2312"/>
          <w:b w:val="0"/>
          <w:bCs w:val="0"/>
          <w:color w:val="auto"/>
          <w:sz w:val="32"/>
          <w:szCs w:val="32"/>
          <w:lang w:val="en-US" w:eastAsia="zh-CN"/>
        </w:rPr>
        <w:t>许昌城投新能源科技有限公司</w:t>
      </w:r>
      <w:r>
        <w:rPr>
          <w:rFonts w:hint="eastAsia" w:ascii="仿宋_GB2312" w:hAnsi="仿宋_GB2312" w:eastAsia="仿宋_GB2312" w:cs="仿宋_GB2312"/>
          <w:sz w:val="32"/>
          <w:szCs w:val="32"/>
          <w:lang w:val="en-US" w:eastAsia="zh-CN"/>
        </w:rPr>
        <w:t>3年联审合并口径审计服务</w:t>
      </w:r>
    </w:p>
    <w:p w14:paraId="00F5437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比选事项：</w:t>
      </w:r>
      <w:r>
        <w:rPr>
          <w:rFonts w:hint="eastAsia" w:ascii="仿宋_GB2312" w:hAnsi="仿宋_GB2312" w:eastAsia="仿宋_GB2312" w:cs="仿宋_GB2312"/>
          <w:b w:val="0"/>
          <w:bCs/>
          <w:sz w:val="32"/>
          <w:szCs w:val="32"/>
          <w:lang w:val="en-US" w:eastAsia="zh-CN"/>
        </w:rPr>
        <w:t>会计师事务所审计服务</w:t>
      </w:r>
    </w:p>
    <w:p w14:paraId="2C972F1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审计年度</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lang w:val="en-US" w:eastAsia="zh-CN"/>
        </w:rPr>
        <w:t>2022年、2023年、2024年</w:t>
      </w:r>
    </w:p>
    <w:p w14:paraId="02A7C0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被审计单位</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val="0"/>
          <w:color w:val="auto"/>
          <w:sz w:val="32"/>
          <w:szCs w:val="32"/>
          <w:lang w:val="en-US" w:eastAsia="zh-CN"/>
        </w:rPr>
        <w:t>许昌城投新能源科技有限公司</w:t>
      </w:r>
    </w:p>
    <w:p w14:paraId="2091687B">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sz w:val="32"/>
          <w:szCs w:val="32"/>
          <w:lang w:val="en-US" w:eastAsia="zh-CN"/>
        </w:rPr>
        <w:t>比选人财务基本情况：</w:t>
      </w:r>
      <w:r>
        <w:rPr>
          <w:rFonts w:hint="eastAsia" w:ascii="仿宋_GB2312" w:hAnsi="仿宋_GB2312" w:eastAsia="仿宋_GB2312" w:cs="仿宋_GB2312"/>
          <w:b w:val="0"/>
          <w:bCs w:val="0"/>
          <w:color w:val="auto"/>
          <w:sz w:val="32"/>
          <w:szCs w:val="32"/>
          <w:lang w:val="en-US" w:eastAsia="zh-CN"/>
        </w:rPr>
        <w:t>2022年底合并资产总额34.58亿元、净资产12.64亿元，2023年底合并资产总额44.44亿元、净资产23.56亿元，2024年底合并资产总额51.04亿元、净资产23.11亿元。</w:t>
      </w:r>
    </w:p>
    <w:p w14:paraId="66E6120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专项</w:t>
      </w:r>
      <w:r>
        <w:rPr>
          <w:rFonts w:hint="eastAsia" w:ascii="仿宋_GB2312" w:hAnsi="仿宋_GB2312" w:eastAsia="仿宋_GB2312" w:cs="仿宋_GB2312"/>
          <w:b/>
          <w:bCs/>
          <w:sz w:val="32"/>
          <w:szCs w:val="32"/>
          <w:lang w:eastAsia="zh-CN"/>
        </w:rPr>
        <w:t>审计</w:t>
      </w:r>
      <w:r>
        <w:rPr>
          <w:rFonts w:hint="eastAsia" w:ascii="仿宋_GB2312" w:hAnsi="仿宋_GB2312" w:eastAsia="仿宋_GB2312" w:cs="仿宋_GB2312"/>
          <w:b/>
          <w:bCs/>
          <w:sz w:val="32"/>
          <w:szCs w:val="32"/>
        </w:rPr>
        <w:t>服务</w:t>
      </w:r>
      <w:r>
        <w:rPr>
          <w:rFonts w:hint="eastAsia" w:ascii="仿宋_GB2312" w:hAnsi="仿宋_GB2312" w:eastAsia="仿宋_GB2312" w:cs="仿宋_GB2312"/>
          <w:b/>
          <w:bCs/>
          <w:sz w:val="32"/>
          <w:szCs w:val="32"/>
          <w:lang w:eastAsia="zh-CN"/>
        </w:rPr>
        <w:t>需求</w:t>
      </w:r>
    </w:p>
    <w:p w14:paraId="0B683A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对</w:t>
      </w:r>
      <w:r>
        <w:rPr>
          <w:rFonts w:hint="eastAsia" w:ascii="仿宋_GB2312" w:hAnsi="仿宋_GB2312" w:eastAsia="仿宋_GB2312" w:cs="仿宋_GB2312"/>
          <w:sz w:val="32"/>
          <w:szCs w:val="32"/>
          <w:highlight w:val="none"/>
          <w:lang w:val="en-US" w:eastAsia="zh-CN"/>
        </w:rPr>
        <w:t>比选人</w:t>
      </w:r>
      <w:r>
        <w:rPr>
          <w:rFonts w:hint="eastAsia" w:ascii="仿宋_GB2312" w:hAnsi="仿宋_GB2312" w:eastAsia="仿宋_GB2312" w:cs="仿宋_GB2312"/>
          <w:b w:val="0"/>
          <w:bCs/>
          <w:sz w:val="32"/>
          <w:szCs w:val="32"/>
          <w:lang w:val="en-US" w:eastAsia="zh-CN"/>
        </w:rPr>
        <w:t>2022年、2023年、2024</w:t>
      </w:r>
      <w:r>
        <w:rPr>
          <w:rFonts w:hint="eastAsia" w:ascii="仿宋_GB2312" w:hAnsi="仿宋_GB2312" w:eastAsia="仿宋_GB2312" w:cs="仿宋_GB2312"/>
          <w:sz w:val="32"/>
          <w:szCs w:val="32"/>
          <w:highlight w:val="none"/>
          <w:lang w:val="en-US" w:eastAsia="zh-CN"/>
        </w:rPr>
        <w:t>年度财务情况发表</w:t>
      </w:r>
      <w:r>
        <w:rPr>
          <w:rFonts w:hint="eastAsia" w:ascii="仿宋_GB2312" w:hAnsi="仿宋_GB2312" w:eastAsia="仿宋_GB2312" w:cs="仿宋_GB2312"/>
          <w:sz w:val="32"/>
          <w:szCs w:val="32"/>
          <w:highlight w:val="none"/>
          <w:lang w:val="zh-CN" w:eastAsia="zh-CN"/>
        </w:rPr>
        <w:t>审</w:t>
      </w:r>
      <w:r>
        <w:rPr>
          <w:rFonts w:hint="eastAsia" w:ascii="仿宋_GB2312" w:hAnsi="仿宋_GB2312" w:eastAsia="仿宋_GB2312" w:cs="仿宋_GB2312"/>
          <w:sz w:val="32"/>
          <w:szCs w:val="32"/>
          <w:highlight w:val="none"/>
          <w:lang w:val="en-US" w:eastAsia="zh-CN"/>
        </w:rPr>
        <w:t>计意见</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并出具正式版合并口径审计报告，同时为比选人出具最近1期财务报表；</w:t>
      </w:r>
    </w:p>
    <w:p w14:paraId="573E45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2、为比选人出具的合并口径审计报告及最近1期财务报表需获得证券交易所、证券机构和金融机构认可，可作为注册发行债券产品和金融机构融资的要件使用；</w:t>
      </w:r>
    </w:p>
    <w:p w14:paraId="24426A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3、协助比选人完成资本市场债券产品注册发行工作，提供有关财务指标的解释说明；</w:t>
      </w:r>
    </w:p>
    <w:p w14:paraId="5B90C2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比选人债券产品</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eastAsia="zh-CN"/>
        </w:rPr>
        <w:t>注册、</w:t>
      </w:r>
      <w:r>
        <w:rPr>
          <w:rFonts w:hint="eastAsia" w:ascii="仿宋_GB2312" w:hAnsi="仿宋_GB2312" w:eastAsia="仿宋_GB2312" w:cs="仿宋_GB2312"/>
          <w:sz w:val="32"/>
          <w:szCs w:val="32"/>
          <w:highlight w:val="none"/>
        </w:rPr>
        <w:t>发行过程中根据需要提供</w:t>
      </w:r>
      <w:r>
        <w:rPr>
          <w:rFonts w:hint="eastAsia" w:ascii="仿宋_GB2312" w:hAnsi="仿宋_GB2312" w:eastAsia="仿宋_GB2312" w:cs="仿宋_GB2312"/>
          <w:sz w:val="32"/>
          <w:szCs w:val="32"/>
          <w:highlight w:val="none"/>
          <w:lang w:eastAsia="zh-CN"/>
        </w:rPr>
        <w:t>会计事项咨询</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w:t>
      </w:r>
    </w:p>
    <w:p w14:paraId="63B8FB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5、为比选人提供年度财务咨询服务。</w:t>
      </w:r>
    </w:p>
    <w:p w14:paraId="3BE383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25CB82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参与此次</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应具备以下条件：</w:t>
      </w:r>
    </w:p>
    <w:p w14:paraId="2C9870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1、在中华人民共和国境内注册，持有合法有效的企业营业执照</w:t>
      </w:r>
      <w:r>
        <w:rPr>
          <w:rFonts w:hint="eastAsia" w:ascii="仿宋_GB2312" w:hAnsi="仿宋_GB2312" w:eastAsia="仿宋_GB2312" w:cs="仿宋_GB2312"/>
          <w:sz w:val="32"/>
          <w:szCs w:val="32"/>
          <w:highlight w:val="none"/>
          <w:lang w:eastAsia="zh-CN"/>
        </w:rPr>
        <w:t>、会计事务所执业证书等证件</w:t>
      </w:r>
      <w:r>
        <w:rPr>
          <w:rFonts w:hint="eastAsia" w:ascii="仿宋_GB2312" w:hAnsi="仿宋_GB2312" w:eastAsia="仿宋_GB2312" w:cs="仿宋_GB2312"/>
          <w:sz w:val="32"/>
          <w:szCs w:val="32"/>
          <w:highlight w:val="none"/>
        </w:rPr>
        <w:t>；</w:t>
      </w:r>
    </w:p>
    <w:p w14:paraId="275AD3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具备证券从业资质、</w:t>
      </w:r>
      <w:r>
        <w:rPr>
          <w:rFonts w:hint="eastAsia" w:ascii="仿宋_GB2312" w:hAnsi="仿宋_GB2312" w:eastAsia="仿宋_GB2312" w:cs="仿宋_GB2312"/>
          <w:sz w:val="32"/>
          <w:szCs w:val="32"/>
          <w:highlight w:val="none"/>
          <w:lang w:val="en-US" w:eastAsia="zh-CN"/>
        </w:rPr>
        <w:t>在中国证券监督管理委员会及中华人民共和国财政部从事证券服务业务会计师事务所备案名单内；</w:t>
      </w:r>
    </w:p>
    <w:p w14:paraId="317510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、近三年未因重大的执业质量等问题被责令停业，没有处于破产或存在其他违法行为；</w:t>
      </w:r>
    </w:p>
    <w:p w14:paraId="4887C4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、未</w:t>
      </w:r>
      <w:r>
        <w:rPr>
          <w:rFonts w:hint="eastAsia" w:ascii="仿宋_GB2312" w:hAnsi="仿宋_GB2312" w:eastAsia="仿宋_GB2312" w:cs="仿宋_GB2312"/>
          <w:sz w:val="32"/>
          <w:szCs w:val="32"/>
          <w:highlight w:val="none"/>
          <w:lang w:val="en-US" w:eastAsia="zh-CN"/>
        </w:rPr>
        <w:t>被列入经营异常名录或者严重违法失信名单、失信被执行人，重大税收违法案件当事人名单、政府采购严重违法失信行为记录名单</w:t>
      </w:r>
      <w:r>
        <w:rPr>
          <w:rFonts w:hint="eastAsia" w:ascii="仿宋_GB2312" w:hAnsi="仿宋_GB2312" w:eastAsia="仿宋_GB2312" w:cs="仿宋_GB2312"/>
          <w:sz w:val="32"/>
          <w:szCs w:val="32"/>
          <w:highlight w:val="none"/>
        </w:rPr>
        <w:t>。</w:t>
      </w:r>
    </w:p>
    <w:p w14:paraId="4F42B5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711F7A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0FAFB6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48000D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w:t>
      </w:r>
      <w:r>
        <w:rPr>
          <w:rFonts w:hint="eastAsia" w:ascii="仿宋_GB2312" w:hAnsi="仿宋_GB2312" w:eastAsia="仿宋_GB2312" w:cs="仿宋_GB2312"/>
          <w:sz w:val="32"/>
          <w:szCs w:val="32"/>
        </w:rPr>
        <w:t>前将</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至：许昌市建安大道东段财政综合楼</w:t>
      </w:r>
      <w:r>
        <w:rPr>
          <w:rFonts w:hint="eastAsia" w:ascii="仿宋_GB2312" w:hAnsi="仿宋_GB2312" w:eastAsia="仿宋_GB2312" w:cs="仿宋_GB2312"/>
          <w:sz w:val="32"/>
          <w:szCs w:val="32"/>
          <w:lang w:eastAsia="zh-CN"/>
        </w:rPr>
        <w:t>许昌市城投发展集团有限公司</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14:paraId="38A7F0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460477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226B6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46B639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31B306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704AE7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eastAsia="zh-CN"/>
        </w:rPr>
        <w:t>会计师</w:t>
      </w:r>
      <w:r>
        <w:rPr>
          <w:rFonts w:hint="eastAsia" w:ascii="仿宋_GB2312" w:hAnsi="仿宋_GB2312" w:eastAsia="仿宋_GB2312" w:cs="仿宋_GB2312"/>
          <w:sz w:val="32"/>
          <w:szCs w:val="32"/>
        </w:rPr>
        <w:t>事务所。</w:t>
      </w:r>
    </w:p>
    <w:p w14:paraId="6E4302B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05970E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根据第三方机构出具的控制价报告，本次比选人</w:t>
      </w:r>
      <w:r>
        <w:rPr>
          <w:rFonts w:hint="eastAsia" w:ascii="仿宋_GB2312" w:hAnsi="仿宋_GB2312" w:eastAsia="仿宋_GB2312" w:cs="仿宋_GB2312"/>
          <w:sz w:val="32"/>
          <w:szCs w:val="32"/>
          <w:highlight w:val="none"/>
          <w:lang w:val="en-US" w:eastAsia="zh-CN"/>
        </w:rPr>
        <w:t>审计</w:t>
      </w:r>
      <w:r>
        <w:rPr>
          <w:rFonts w:hint="eastAsia" w:ascii="仿宋_GB2312" w:hAnsi="仿宋_GB2312" w:eastAsia="仿宋_GB2312" w:cs="仿宋_GB2312"/>
          <w:sz w:val="32"/>
          <w:szCs w:val="32"/>
          <w:highlight w:val="none"/>
          <w:lang w:eastAsia="zh-CN"/>
        </w:rPr>
        <w:t>服务费用比选控制价为不高于</w:t>
      </w:r>
      <w:r>
        <w:rPr>
          <w:rFonts w:hint="eastAsia" w:ascii="仿宋_GB2312" w:hAnsi="仿宋_GB2312" w:eastAsia="仿宋_GB2312" w:cs="仿宋_GB2312"/>
          <w:sz w:val="32"/>
          <w:szCs w:val="32"/>
          <w:highlight w:val="none"/>
          <w:lang w:val="en-US" w:eastAsia="zh-CN"/>
        </w:rPr>
        <w:t>36万元。</w:t>
      </w:r>
    </w:p>
    <w:p w14:paraId="41AEC4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本次比选公告在许昌市城投发展集团有限公司官网（网</w:t>
      </w:r>
      <w:r>
        <w:rPr>
          <w:rFonts w:hint="eastAsia" w:ascii="仿宋_GB2312" w:hAnsi="仿宋_GB2312" w:eastAsia="仿宋_GB2312" w:cs="仿宋_GB2312"/>
          <w:sz w:val="32"/>
          <w:szCs w:val="32"/>
          <w:lang w:eastAsia="zh-CN"/>
        </w:rPr>
        <w:t>站地址：www.xcsct.cn）发布。</w:t>
      </w:r>
    </w:p>
    <w:p w14:paraId="38D21F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bookmarkStart w:id="0" w:name="_Toc35393626"/>
      <w:bookmarkEnd w:id="0"/>
      <w:bookmarkStart w:id="1" w:name="_Toc28359085"/>
      <w:bookmarkEnd w:id="1"/>
      <w:bookmarkStart w:id="2" w:name="_Toc35393627"/>
      <w:bookmarkEnd w:id="2"/>
      <w:bookmarkStart w:id="3" w:name="_Toc28359008"/>
      <w:bookmarkEnd w:id="3"/>
      <w:bookmarkStart w:id="4" w:name="_Toc35393795"/>
      <w:bookmarkEnd w:id="4"/>
      <w:bookmarkStart w:id="5" w:name="_Toc35393796"/>
      <w:bookmarkEnd w:id="5"/>
      <w:r>
        <w:rPr>
          <w:rFonts w:hint="eastAsia" w:ascii="仿宋_GB2312" w:hAnsi="仿宋_GB2312" w:eastAsia="仿宋_GB2312" w:cs="仿宋_GB2312"/>
          <w:b/>
          <w:bCs w:val="0"/>
          <w:sz w:val="32"/>
          <w:szCs w:val="32"/>
          <w:lang w:val="en-US" w:eastAsia="zh-CN"/>
        </w:rPr>
        <w:t>八、联系方式</w:t>
      </w:r>
    </w:p>
    <w:p w14:paraId="66FF29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z w:val="32"/>
          <w:szCs w:val="32"/>
          <w:lang w:val="en-US" w:eastAsia="zh-CN"/>
        </w:rPr>
        <w:t>比  选  人</w:t>
      </w:r>
      <w:r>
        <w:rPr>
          <w:rFonts w:hint="eastAsia" w:ascii="仿宋_GB2312" w:hAnsi="仿宋_GB2312" w:eastAsia="仿宋_GB2312" w:cs="仿宋_GB2312"/>
          <w:b w:val="0"/>
          <w:bCs/>
          <w:sz w:val="32"/>
          <w:szCs w:val="32"/>
          <w:lang w:val="en-GB" w:eastAsia="zh-CN"/>
        </w:rPr>
        <w:t>：</w:t>
      </w:r>
      <w:r>
        <w:rPr>
          <w:rFonts w:hint="eastAsia" w:ascii="仿宋_GB2312" w:hAnsi="仿宋_GB2312" w:eastAsia="仿宋_GB2312" w:cs="仿宋_GB2312"/>
          <w:b w:val="0"/>
          <w:bCs w:val="0"/>
          <w:color w:val="auto"/>
          <w:sz w:val="32"/>
          <w:szCs w:val="32"/>
          <w:lang w:val="en-US" w:eastAsia="zh-CN"/>
        </w:rPr>
        <w:t>许昌城投新能源科技有限公司</w:t>
      </w:r>
    </w:p>
    <w:p w14:paraId="4E46A02F">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地</w:t>
      </w:r>
      <w:r>
        <w:rPr>
          <w:rFonts w:hint="eastAsia" w:ascii="仿宋_GB2312" w:hAnsi="仿宋_GB2312" w:eastAsia="仿宋_GB2312" w:cs="仿宋_GB2312"/>
          <w:b w:val="0"/>
          <w:bCs/>
          <w:spacing w:val="20"/>
          <w:sz w:val="32"/>
          <w:szCs w:val="32"/>
          <w:lang w:eastAsia="zh-CN"/>
        </w:rPr>
        <w:t xml:space="preserve">    </w:t>
      </w:r>
      <w:r>
        <w:rPr>
          <w:rFonts w:hint="eastAsia" w:ascii="仿宋_GB2312" w:hAnsi="仿宋_GB2312" w:eastAsia="仿宋_GB2312" w:cs="仿宋_GB2312"/>
          <w:b w:val="0"/>
          <w:bCs/>
          <w:spacing w:val="20"/>
          <w:sz w:val="32"/>
          <w:szCs w:val="32"/>
          <w:lang w:val="en-GB" w:eastAsia="zh-CN"/>
        </w:rPr>
        <w:t>址：</w:t>
      </w:r>
      <w:r>
        <w:rPr>
          <w:rFonts w:hint="eastAsia" w:ascii="仿宋_GB2312" w:hAnsi="仿宋_GB2312" w:eastAsia="仿宋_GB2312" w:cs="仿宋_GB2312"/>
          <w:b w:val="0"/>
          <w:bCs/>
          <w:sz w:val="32"/>
          <w:szCs w:val="32"/>
          <w:lang w:eastAsia="zh-CN"/>
        </w:rPr>
        <w:t>许昌市建安大道东段财政综合大楼</w:t>
      </w:r>
      <w:r>
        <w:rPr>
          <w:rFonts w:hint="eastAsia" w:ascii="仿宋_GB2312" w:hAnsi="仿宋_GB2312" w:eastAsia="仿宋_GB2312" w:cs="仿宋_GB2312"/>
          <w:b w:val="0"/>
          <w:bCs/>
          <w:sz w:val="32"/>
          <w:szCs w:val="32"/>
          <w:lang w:val="en-US" w:eastAsia="zh-CN"/>
        </w:rPr>
        <w:t>816房间</w:t>
      </w:r>
    </w:p>
    <w:p w14:paraId="450AA038">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pacing w:val="20"/>
          <w:sz w:val="32"/>
          <w:szCs w:val="32"/>
          <w:lang w:val="en-GB" w:eastAsia="zh-CN"/>
        </w:rPr>
        <w:t>联 系 人：</w:t>
      </w:r>
      <w:r>
        <w:rPr>
          <w:rFonts w:hint="eastAsia" w:ascii="仿宋_GB2312" w:hAnsi="仿宋_GB2312" w:eastAsia="仿宋_GB2312" w:cs="仿宋_GB2312"/>
          <w:b w:val="0"/>
          <w:bCs/>
          <w:spacing w:val="20"/>
          <w:sz w:val="32"/>
          <w:szCs w:val="32"/>
          <w:lang w:val="en-US" w:eastAsia="zh-CN"/>
        </w:rPr>
        <w:t>白先生</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en-GB" w:eastAsia="zh-CN"/>
        </w:rPr>
        <w:t xml:space="preserve">        </w:t>
      </w:r>
    </w:p>
    <w:p w14:paraId="55EE1AEA">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联系电话：</w:t>
      </w:r>
      <w:r>
        <w:rPr>
          <w:rFonts w:hint="eastAsia" w:ascii="仿宋_GB2312" w:hAnsi="仿宋_GB2312" w:eastAsia="仿宋_GB2312" w:cs="仿宋_GB2312"/>
          <w:b w:val="0"/>
          <w:bCs/>
          <w:sz w:val="32"/>
          <w:szCs w:val="32"/>
          <w:lang w:val="en-US" w:eastAsia="zh-CN"/>
        </w:rPr>
        <w:t>0374-2699026</w:t>
      </w:r>
    </w:p>
    <w:p w14:paraId="73E661E1">
      <w:pPr>
        <w:rPr>
          <w:rFonts w:hint="eastAsia" w:ascii="仿宋" w:hAnsi="仿宋" w:eastAsia="仿宋" w:cs="仿宋"/>
          <w:b/>
          <w:bCs/>
          <w:color w:val="auto"/>
          <w:sz w:val="24"/>
          <w:szCs w:val="24"/>
        </w:rPr>
      </w:pPr>
    </w:p>
    <w:p w14:paraId="6C7586AA">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3346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TW"/>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、本项目需实现的功能或者目标</w:t>
      </w:r>
    </w:p>
    <w:p w14:paraId="7D327B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人拟通过邀请</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的方式选聘</w:t>
      </w:r>
      <w:r>
        <w:rPr>
          <w:rFonts w:hint="eastAsia" w:ascii="仿宋_GB2312" w:hAnsi="仿宋_GB2312" w:eastAsia="仿宋_GB2312" w:cs="仿宋_GB2312"/>
          <w:sz w:val="32"/>
          <w:szCs w:val="32"/>
          <w:lang w:eastAsia="zh-CN"/>
        </w:rPr>
        <w:t>会计师事务所为比选人</w:t>
      </w:r>
      <w:r>
        <w:rPr>
          <w:rFonts w:hint="eastAsia" w:ascii="仿宋_GB2312" w:hAnsi="仿宋_GB2312" w:eastAsia="仿宋_GB2312" w:cs="仿宋_GB2312"/>
          <w:sz w:val="32"/>
          <w:szCs w:val="32"/>
          <w:lang w:val="en-US" w:eastAsia="zh-CN"/>
        </w:rPr>
        <w:t>2022年、2023年、2024年财务情况进行审计并出具3年联审（2022年、2023年、2024年）合并口径审计报告及最近1期财务报表，出具后的合并口径审计报告及最近1期财务报表需获得证券交易所、证券机构和金融机构认可，可作为注册发行债券产品和金融机构融资的要件使用。</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申请人参加。</w:t>
      </w:r>
    </w:p>
    <w:p w14:paraId="1AD4943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u w:val="none"/>
          <w:lang w:val="zh-CN"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w:t>
      </w:r>
      <w:r>
        <w:rPr>
          <w:rFonts w:hint="eastAsia" w:ascii="仿宋_GB2312" w:hAnsi="仿宋_GB2312" w:eastAsia="仿宋_GB2312" w:cs="仿宋_GB2312"/>
          <w:b/>
          <w:bCs/>
          <w:sz w:val="32"/>
          <w:szCs w:val="32"/>
          <w:u w:val="none"/>
          <w:lang w:eastAsia="zh-CN"/>
        </w:rPr>
        <w:t>限于）</w:t>
      </w:r>
    </w:p>
    <w:p w14:paraId="32C6AF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对</w:t>
      </w:r>
      <w:r>
        <w:rPr>
          <w:rFonts w:hint="eastAsia" w:ascii="仿宋_GB2312" w:hAnsi="仿宋_GB2312" w:eastAsia="仿宋_GB2312" w:cs="仿宋_GB2312"/>
          <w:sz w:val="32"/>
          <w:szCs w:val="32"/>
          <w:highlight w:val="none"/>
          <w:lang w:val="en-US" w:eastAsia="zh-CN"/>
        </w:rPr>
        <w:t>比选人</w:t>
      </w:r>
      <w:r>
        <w:rPr>
          <w:rFonts w:hint="eastAsia" w:ascii="仿宋_GB2312" w:hAnsi="仿宋_GB2312" w:eastAsia="仿宋_GB2312" w:cs="仿宋_GB2312"/>
          <w:b w:val="0"/>
          <w:bCs/>
          <w:sz w:val="32"/>
          <w:szCs w:val="32"/>
          <w:lang w:val="en-US" w:eastAsia="zh-CN"/>
        </w:rPr>
        <w:t>2022年、2023年、2024</w:t>
      </w:r>
      <w:r>
        <w:rPr>
          <w:rFonts w:hint="eastAsia" w:ascii="仿宋_GB2312" w:hAnsi="仿宋_GB2312" w:eastAsia="仿宋_GB2312" w:cs="仿宋_GB2312"/>
          <w:sz w:val="32"/>
          <w:szCs w:val="32"/>
          <w:highlight w:val="none"/>
          <w:lang w:val="en-US" w:eastAsia="zh-CN"/>
        </w:rPr>
        <w:t>年度财务情况发表</w:t>
      </w:r>
      <w:r>
        <w:rPr>
          <w:rFonts w:hint="eastAsia" w:ascii="仿宋_GB2312" w:hAnsi="仿宋_GB2312" w:eastAsia="仿宋_GB2312" w:cs="仿宋_GB2312"/>
          <w:sz w:val="32"/>
          <w:szCs w:val="32"/>
          <w:highlight w:val="none"/>
          <w:lang w:val="zh-CN" w:eastAsia="zh-CN"/>
        </w:rPr>
        <w:t>审</w:t>
      </w:r>
      <w:r>
        <w:rPr>
          <w:rFonts w:hint="eastAsia" w:ascii="仿宋_GB2312" w:hAnsi="仿宋_GB2312" w:eastAsia="仿宋_GB2312" w:cs="仿宋_GB2312"/>
          <w:sz w:val="32"/>
          <w:szCs w:val="32"/>
          <w:highlight w:val="none"/>
          <w:lang w:val="en-US" w:eastAsia="zh-CN"/>
        </w:rPr>
        <w:t>计意见</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并出具正式版合并口径审计报告，同时为比选人出具最近1期财务报表；</w:t>
      </w:r>
    </w:p>
    <w:p w14:paraId="3CD16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2、为比选人出具的合并口径审计报告及最近1期财务报表需获得证券交易所、证券机构和金融机构认可，可作为注册发行债券产品和金融机构融资的要件使用；</w:t>
      </w:r>
    </w:p>
    <w:p w14:paraId="2D1E27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3、协助比选人完成资本市场债券产品注册发行工作，提供有关财务指标的解释说明；</w:t>
      </w:r>
    </w:p>
    <w:p w14:paraId="2C6D42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比选人债券产品</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eastAsia="zh-CN"/>
        </w:rPr>
        <w:t>注册、</w:t>
      </w:r>
      <w:r>
        <w:rPr>
          <w:rFonts w:hint="eastAsia" w:ascii="仿宋_GB2312" w:hAnsi="仿宋_GB2312" w:eastAsia="仿宋_GB2312" w:cs="仿宋_GB2312"/>
          <w:sz w:val="32"/>
          <w:szCs w:val="32"/>
          <w:highlight w:val="none"/>
        </w:rPr>
        <w:t>发行过程中根据需要提供</w:t>
      </w:r>
      <w:r>
        <w:rPr>
          <w:rFonts w:hint="eastAsia" w:ascii="仿宋_GB2312" w:hAnsi="仿宋_GB2312" w:eastAsia="仿宋_GB2312" w:cs="仿宋_GB2312"/>
          <w:sz w:val="32"/>
          <w:szCs w:val="32"/>
          <w:highlight w:val="none"/>
          <w:lang w:eastAsia="zh-CN"/>
        </w:rPr>
        <w:t>会计事项咨询</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w:t>
      </w:r>
    </w:p>
    <w:p w14:paraId="0E0EED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5、为比选人提供年度财务咨询服务。</w:t>
      </w:r>
    </w:p>
    <w:p w14:paraId="255C22E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u w:val="none"/>
          <w:lang w:eastAsia="zh-TW"/>
        </w:rPr>
      </w:pPr>
      <w:r>
        <w:rPr>
          <w:rFonts w:hint="eastAsia" w:ascii="仿宋_GB2312" w:hAnsi="仿宋_GB2312" w:eastAsia="仿宋_GB2312" w:cs="仿宋_GB2312"/>
          <w:b/>
          <w:bCs/>
          <w:sz w:val="32"/>
          <w:szCs w:val="32"/>
          <w:u w:val="none"/>
          <w:lang w:val="en-US" w:eastAsia="zh-CN"/>
        </w:rPr>
        <w:t>三、</w:t>
      </w:r>
      <w:r>
        <w:rPr>
          <w:rFonts w:hint="eastAsia" w:ascii="仿宋_GB2312" w:hAnsi="仿宋_GB2312" w:eastAsia="仿宋_GB2312" w:cs="仿宋_GB2312"/>
          <w:b/>
          <w:bCs/>
          <w:sz w:val="32"/>
          <w:szCs w:val="32"/>
          <w:u w:val="none"/>
          <w:lang w:eastAsia="zh-TW"/>
        </w:rPr>
        <w:t>服务标准、期限、效率等要求</w:t>
      </w:r>
    </w:p>
    <w:p w14:paraId="738BB5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根据比选人要求在规定时间内出合并口径审计报告及最近</w:t>
      </w:r>
      <w:r>
        <w:rPr>
          <w:rFonts w:hint="eastAsia" w:ascii="仿宋_GB2312" w:hAnsi="仿宋_GB2312" w:eastAsia="仿宋_GB2312" w:cs="仿宋_GB2312"/>
          <w:sz w:val="32"/>
          <w:szCs w:val="32"/>
          <w:lang w:val="en-US" w:eastAsia="zh-CN"/>
        </w:rPr>
        <w:t>1期财务报表</w:t>
      </w:r>
      <w:r>
        <w:rPr>
          <w:rFonts w:hint="eastAsia" w:ascii="仿宋_GB2312" w:hAnsi="仿宋_GB2312" w:eastAsia="仿宋_GB2312" w:cs="仿宋_GB2312"/>
          <w:sz w:val="32"/>
          <w:szCs w:val="32"/>
          <w:lang w:eastAsia="zh-CN"/>
        </w:rPr>
        <w:t>，并且出具的审计报告须获得证券交易所、证券机构和金融机构认可。</w:t>
      </w:r>
    </w:p>
    <w:p w14:paraId="56D7F2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服务期限：自签订服务合同之日起至向证券交易所申报注册发行的债券产品全部发行完毕之日止。</w:t>
      </w:r>
    </w:p>
    <w:p w14:paraId="20C16D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以上技术要求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388490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比选人</w:t>
      </w:r>
      <w:r>
        <w:rPr>
          <w:rFonts w:hint="eastAsia" w:ascii="仿宋_GB2312" w:hAnsi="仿宋_GB2312" w:eastAsia="仿宋_GB2312" w:cs="仿宋_GB2312"/>
          <w:sz w:val="32"/>
          <w:szCs w:val="32"/>
          <w:lang w:eastAsia="zh-TW"/>
        </w:rPr>
        <w:t>造成经济损失的，应当依法赔偿</w:t>
      </w:r>
      <w:r>
        <w:rPr>
          <w:rFonts w:hint="eastAsia" w:ascii="仿宋_GB2312" w:hAnsi="仿宋_GB2312" w:eastAsia="仿宋_GB2312" w:cs="仿宋_GB2312"/>
          <w:sz w:val="32"/>
          <w:szCs w:val="32"/>
          <w:lang w:eastAsia="zh-CN"/>
        </w:rPr>
        <w:t>。</w:t>
      </w:r>
    </w:p>
    <w:p w14:paraId="06C5A8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TW"/>
        </w:rPr>
        <w:t>釆购标的的其他技术、服务等要求</w:t>
      </w:r>
    </w:p>
    <w:p w14:paraId="04FC9A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TW"/>
        </w:rPr>
        <w:t>项目（每包或者标段）完整投标。</w:t>
      </w:r>
    </w:p>
    <w:p w14:paraId="5D7F7C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TW"/>
        </w:rPr>
        <w:t>本项目为交钥匙工程，包含</w:t>
      </w:r>
      <w:r>
        <w:rPr>
          <w:rFonts w:hint="eastAsia" w:ascii="仿宋_GB2312" w:hAnsi="仿宋_GB2312" w:eastAsia="仿宋_GB2312" w:cs="仿宋_GB2312"/>
          <w:sz w:val="32"/>
          <w:szCs w:val="32"/>
          <w:lang w:eastAsia="zh-CN"/>
        </w:rPr>
        <w:t>比选人</w:t>
      </w:r>
      <w:r>
        <w:rPr>
          <w:rFonts w:hint="eastAsia" w:ascii="仿宋_GB2312" w:hAnsi="仿宋_GB2312" w:eastAsia="仿宋_GB2312" w:cs="仿宋_GB2312"/>
          <w:sz w:val="32"/>
          <w:szCs w:val="32"/>
          <w:lang w:val="en-US" w:eastAsia="zh-CN"/>
        </w:rPr>
        <w:t>审计服务</w:t>
      </w:r>
      <w:r>
        <w:rPr>
          <w:rFonts w:hint="eastAsia" w:ascii="仿宋_GB2312" w:hAnsi="仿宋_GB2312" w:eastAsia="仿宋_GB2312" w:cs="仿宋_GB2312"/>
          <w:sz w:val="32"/>
          <w:szCs w:val="32"/>
          <w:lang w:eastAsia="zh-TW"/>
        </w:rPr>
        <w:t>一切费用。</w:t>
      </w:r>
    </w:p>
    <w:p w14:paraId="742E1B4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验收标准</w:t>
      </w:r>
    </w:p>
    <w:p w14:paraId="5AD83A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为比选人出具的</w:t>
      </w:r>
      <w:r>
        <w:rPr>
          <w:rFonts w:hint="eastAsia" w:ascii="仿宋_GB2312" w:hAnsi="仿宋_GB2312" w:eastAsia="仿宋_GB2312" w:cs="仿宋_GB2312"/>
          <w:sz w:val="32"/>
          <w:szCs w:val="32"/>
          <w:u w:val="none"/>
          <w:lang w:val="en-US" w:eastAsia="zh-CN"/>
        </w:rPr>
        <w:t>合并口径</w:t>
      </w:r>
      <w:r>
        <w:rPr>
          <w:rFonts w:hint="eastAsia" w:ascii="仿宋_GB2312" w:hAnsi="仿宋_GB2312" w:eastAsia="仿宋_GB2312" w:cs="仿宋_GB2312"/>
          <w:sz w:val="32"/>
          <w:szCs w:val="32"/>
          <w:u w:val="none"/>
          <w:lang w:eastAsia="zh-CN"/>
        </w:rPr>
        <w:t>审计报告符合证券交易所、证券机构和金融机构认可，债券产品顺利获得批复可正常发行后即视为验收合格。</w:t>
      </w:r>
    </w:p>
    <w:p w14:paraId="0A3298A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sz w:val="32"/>
          <w:szCs w:val="32"/>
          <w:highlight w:val="none"/>
          <w:lang w:val="zh-CN" w:eastAsia="zh-CN"/>
        </w:rPr>
        <w:t>本项目审计服务费最高限价为</w:t>
      </w:r>
      <w:r>
        <w:rPr>
          <w:rFonts w:hint="eastAsia" w:ascii="仿宋_GB2312" w:hAnsi="仿宋_GB2312" w:eastAsia="仿宋_GB2312" w:cs="仿宋_GB2312"/>
          <w:sz w:val="32"/>
          <w:szCs w:val="32"/>
          <w:highlight w:val="none"/>
          <w:lang w:val="en-US" w:eastAsia="zh-CN"/>
        </w:rPr>
        <w:t>36万元</w:t>
      </w:r>
      <w:r>
        <w:rPr>
          <w:rFonts w:hint="eastAsia" w:ascii="仿宋_GB2312" w:hAnsi="仿宋_GB2312" w:eastAsia="仿宋_GB2312" w:cs="仿宋_GB2312"/>
          <w:sz w:val="32"/>
          <w:szCs w:val="32"/>
          <w:highlight w:val="none"/>
          <w:lang w:val="zh-CN" w:eastAsia="zh-CN"/>
        </w:rPr>
        <w:t>，超出最高限价的投标报价无效。</w:t>
      </w:r>
    </w:p>
    <w:p w14:paraId="67B8DFB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val="zh-CN" w:eastAsia="zh-CN"/>
        </w:rPr>
        <w:t>资金支付</w:t>
      </w:r>
    </w:p>
    <w:p w14:paraId="5BE802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55FA6D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w:t>
      </w:r>
      <w:r>
        <w:rPr>
          <w:rFonts w:hint="eastAsia" w:ascii="仿宋_GB2312" w:hAnsi="仿宋_GB2312" w:eastAsia="仿宋_GB2312" w:cs="仿宋_GB2312"/>
          <w:color w:val="auto"/>
          <w:sz w:val="32"/>
          <w:szCs w:val="32"/>
          <w:highlight w:val="none"/>
          <w:lang w:val="en-US" w:eastAsia="zh-CN"/>
        </w:rPr>
        <w:t>出具正式</w:t>
      </w:r>
      <w:r>
        <w:rPr>
          <w:rFonts w:hint="default" w:ascii="Times New Roman" w:hAnsi="Times New Roman" w:eastAsia="仿宋_GB2312" w:cs="Times New Roman"/>
          <w:color w:val="auto"/>
          <w:sz w:val="32"/>
          <w:szCs w:val="32"/>
          <w:lang w:val="en-US" w:eastAsia="zh-CN"/>
        </w:rPr>
        <w:t>《审计报告》</w:t>
      </w:r>
      <w:r>
        <w:rPr>
          <w:rFonts w:hint="eastAsia" w:ascii="仿宋_GB2312" w:hAnsi="仿宋_GB2312" w:eastAsia="仿宋_GB2312" w:cs="仿宋_GB2312"/>
          <w:color w:val="auto"/>
          <w:sz w:val="32"/>
          <w:szCs w:val="32"/>
          <w:highlight w:val="none"/>
          <w:lang w:val="en-US" w:eastAsia="zh-CN"/>
        </w:rPr>
        <w:t>且被证券交易所和证券机构采纳之日起5日内，支付审计服务费50%；获批的债券产品首期发行前5日内，支付剩余50％审计服务费用。</w:t>
      </w:r>
    </w:p>
    <w:p w14:paraId="30196A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6A897CA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531C3DB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51ABE15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14:paraId="1A28714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576A7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BB731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086B9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16A381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D34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E3FB3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E132F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许昌城投新能源科技有限公司3年联审合并口径审计服务</w:t>
            </w:r>
          </w:p>
          <w:p w14:paraId="53061CDE">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RZB-2025007</w:t>
            </w:r>
            <w:r>
              <w:rPr>
                <w:rFonts w:hint="eastAsia" w:ascii="仿宋" w:hAnsi="仿宋" w:eastAsia="仿宋" w:cs="仿宋"/>
                <w:color w:val="auto"/>
                <w:sz w:val="24"/>
                <w:szCs w:val="24"/>
                <w:lang w:eastAsia="zh-CN"/>
              </w:rPr>
              <w:t xml:space="preserve">号 </w:t>
            </w:r>
          </w:p>
          <w:p w14:paraId="7F1686CB">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为比选人2022年、2023年、2024年财务情况进行审计并出具3年联审（2022年、2023年、2024年）合并口径审计报告及最近1期财务报表，出具后的合并口径审计报告及最近1期财务报表需获得证券交易所、证券机构和金融机构认可，可作为注册发行债券产品和金融机构融资的要件使用。</w:t>
            </w:r>
          </w:p>
        </w:tc>
      </w:tr>
      <w:tr w14:paraId="5E8F592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08315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9F2AB5">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DE7D7F">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color w:val="auto"/>
                <w:sz w:val="24"/>
                <w:szCs w:val="24"/>
                <w:lang w:val="en-US" w:eastAsia="zh-CN"/>
              </w:rPr>
              <w:t>许昌城投新能源科技有限公司</w:t>
            </w:r>
            <w:r>
              <w:rPr>
                <w:rFonts w:hint="eastAsia" w:ascii="仿宋" w:hAnsi="仿宋" w:eastAsia="仿宋" w:cs="仿宋"/>
                <w:color w:val="auto"/>
                <w:sz w:val="24"/>
                <w:szCs w:val="24"/>
                <w:highlight w:val="none"/>
                <w:shd w:val="clear" w:color="auto" w:fill="FFFFFF"/>
              </w:rPr>
              <w:t xml:space="preserve"> </w:t>
            </w:r>
          </w:p>
          <w:p w14:paraId="4C47595F">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14:paraId="6AF745FB">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白先生</w:t>
            </w:r>
            <w:r>
              <w:rPr>
                <w:rFonts w:hint="eastAsia" w:ascii="仿宋" w:hAnsi="仿宋" w:eastAsia="仿宋" w:cs="仿宋"/>
                <w:bCs/>
                <w:color w:val="auto"/>
                <w:sz w:val="24"/>
                <w:szCs w:val="24"/>
                <w:highlight w:val="none"/>
                <w:lang w:eastAsia="zh-CN"/>
              </w:rPr>
              <w:t xml:space="preserve">           </w:t>
            </w:r>
          </w:p>
          <w:p w14:paraId="39F771D9">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2F6FFF0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9463A0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6919AF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A958EF">
            <w:pPr>
              <w:numPr>
                <w:ilvl w:val="0"/>
                <w:numId w:val="4"/>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14:paraId="1622E7DC">
            <w:pPr>
              <w:numPr>
                <w:ilvl w:val="0"/>
                <w:numId w:val="4"/>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14:paraId="40100983">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1、在中华人民共和国境内注册，持有合法有效的企业营业执照、会计事务所执业证书等证件；</w:t>
            </w:r>
          </w:p>
          <w:p w14:paraId="4B8E6248">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2、具备证券从业资质、在中国证券监督管理委员会及中华人民共和国财政部从事证券服务业务会计师事务所备案名单内；</w:t>
            </w:r>
          </w:p>
          <w:p w14:paraId="62CC2E26">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3、近三年未因重大的执业质量等问题被责令停业，没有处于破产或存在其他违法行为；</w:t>
            </w:r>
          </w:p>
          <w:p w14:paraId="53D8BF9C">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4、未被列入经营异常名录或者严重违法失信名单、失信被执行人，重大税收违法案件当事人名单、政府采购严重违法失信行为记录名单。</w:t>
            </w:r>
          </w:p>
        </w:tc>
      </w:tr>
      <w:tr w14:paraId="2DADFB1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AA3C4F">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DFF840">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818DCB">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0A6E9B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5381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C67894">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审计服务费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1BE18D">
            <w:pPr>
              <w:numPr>
                <w:ilvl w:val="0"/>
                <w:numId w:val="5"/>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本项目审计服务费最高限价为</w:t>
            </w:r>
            <w:r>
              <w:rPr>
                <w:rFonts w:hint="eastAsia" w:ascii="仿宋" w:hAnsi="仿宋" w:eastAsia="仿宋" w:cs="仿宋"/>
                <w:color w:val="auto"/>
                <w:sz w:val="24"/>
                <w:szCs w:val="24"/>
                <w:highlight w:val="none"/>
                <w:lang w:val="en-US" w:eastAsia="zh-CN"/>
              </w:rPr>
              <w:t>36万元</w:t>
            </w:r>
            <w:r>
              <w:rPr>
                <w:rFonts w:hint="eastAsia" w:ascii="仿宋" w:hAnsi="仿宋" w:eastAsia="仿宋" w:cs="仿宋"/>
                <w:color w:val="auto"/>
                <w:sz w:val="24"/>
                <w:szCs w:val="24"/>
                <w:highlight w:val="none"/>
                <w:lang w:val="zh-CN" w:eastAsia="zh-CN"/>
              </w:rPr>
              <w:t>，超出最高限价的投标报价无效。</w:t>
            </w:r>
          </w:p>
          <w:p w14:paraId="4D81489F">
            <w:pPr>
              <w:numPr>
                <w:ilvl w:val="0"/>
                <w:numId w:val="5"/>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eastAsia="zh-CN"/>
              </w:rPr>
              <w:t>整体报价。</w:t>
            </w:r>
          </w:p>
          <w:p w14:paraId="59C8FAF2">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7E52D0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301B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182F0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AAE7D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2694EB61">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129D75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D32E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3CF69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0FCBD1">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74CE6E9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4B5E323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D910D">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92A80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7F5FDE">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90天（自提交投标文件的截止之日起算）</w:t>
            </w:r>
          </w:p>
          <w:p w14:paraId="7217217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79C427C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901B2">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77034C">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7463E5">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113B49C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56AFB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035BF3">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486D19">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val="zh-CN"/>
              </w:rPr>
              <w:t>月</w:t>
            </w:r>
            <w:bookmarkStart w:id="9" w:name="_GoBack"/>
            <w:r>
              <w:rPr>
                <w:rFonts w:hint="eastAsia" w:ascii="仿宋" w:hAnsi="仿宋" w:eastAsia="仿宋" w:cs="仿宋"/>
                <w:bCs/>
                <w:color w:val="auto"/>
                <w:sz w:val="24"/>
                <w:szCs w:val="24"/>
                <w:highlight w:val="none"/>
                <w:lang w:val="en-US" w:eastAsia="zh-CN"/>
              </w:rPr>
              <w:t>22</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val="zh-CN"/>
              </w:rPr>
              <w:t>分（北京时间）</w:t>
            </w:r>
            <w:bookmarkEnd w:id="9"/>
          </w:p>
        </w:tc>
      </w:tr>
      <w:tr w14:paraId="72163CC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78AAC">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1B656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44FF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color w:val="auto"/>
                <w:sz w:val="24"/>
                <w:szCs w:val="24"/>
                <w:lang w:eastAsia="zh-CN"/>
              </w:rPr>
              <w:t>许昌市城投发展集团有限公司</w:t>
            </w:r>
            <w:r>
              <w:rPr>
                <w:rFonts w:hint="eastAsia" w:ascii="仿宋" w:hAnsi="仿宋" w:eastAsia="仿宋" w:cs="仿宋"/>
                <w:color w:val="auto"/>
                <w:sz w:val="24"/>
                <w:szCs w:val="24"/>
                <w:lang w:val="en-US" w:eastAsia="zh-CN"/>
              </w:rPr>
              <w:t>8楼816房间</w:t>
            </w:r>
            <w:r>
              <w:rPr>
                <w:rFonts w:hint="eastAsia" w:ascii="仿宋" w:hAnsi="仿宋" w:eastAsia="仿宋" w:cs="仿宋"/>
                <w:color w:val="auto"/>
                <w:sz w:val="24"/>
                <w:szCs w:val="24"/>
                <w:lang w:val="zh-CN"/>
              </w:rPr>
              <w:t>。</w:t>
            </w:r>
          </w:p>
        </w:tc>
      </w:tr>
      <w:tr w14:paraId="4A4CB87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182C2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D4544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2EDFD0">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6C47BE2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651367">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A9E21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E3CC7C">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val="zh-CN"/>
              </w:rPr>
              <w:t>纸质投标文件：纸质版投标文件正本1份（需胶装）</w:t>
            </w:r>
          </w:p>
        </w:tc>
      </w:tr>
      <w:tr w14:paraId="3A2D383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E76C4C">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2D6B60">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F31F3">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596585AC">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0158241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927CC9">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A46C0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10EB79">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7605762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9AACD0">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0A34E0">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29FF19">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14:paraId="199A622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28A624">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19ACD">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3483C7">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潜在投标人如对比选文件有异议，请向比选人以书面形式在比选活动结束后7天内提出，逾期将不予受理。</w:t>
            </w:r>
          </w:p>
        </w:tc>
      </w:tr>
    </w:tbl>
    <w:p w14:paraId="2AE6238E">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A9F3AD5">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41AF50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1FD204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评审小组对对投标人资格进行检查。</w:t>
      </w:r>
      <w:r>
        <w:rPr>
          <w:rFonts w:hint="eastAsia" w:ascii="仿宋_GB2312" w:hAnsi="仿宋_GB2312" w:eastAsia="仿宋_GB2312" w:cs="仿宋_GB2312"/>
          <w:sz w:val="32"/>
          <w:szCs w:val="32"/>
          <w:lang w:val="zh-CN" w:eastAsia="zh-CN"/>
        </w:rPr>
        <w:t>确定符合资格的投标人不少于3家后对投标文件进行符合性审查。</w:t>
      </w:r>
    </w:p>
    <w:p w14:paraId="646645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64800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（2）资格审查中所涉及到的证书及材料，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0328E96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6FEDB4B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3D7213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012FF7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268"/>
        <w:gridCol w:w="4117"/>
        <w:gridCol w:w="1462"/>
      </w:tblGrid>
      <w:tr w14:paraId="6402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75" w:type="dxa"/>
            <w:noWrap w:val="0"/>
            <w:vAlign w:val="center"/>
          </w:tcPr>
          <w:p w14:paraId="4F651624">
            <w:pPr>
              <w:tabs>
                <w:tab w:val="left" w:pos="622"/>
              </w:tabs>
              <w:jc w:val="center"/>
              <w:rPr>
                <w:rFonts w:hint="eastAsia" w:ascii="宋体" w:hAnsi="宋体"/>
                <w:b/>
                <w:sz w:val="30"/>
                <w:szCs w:val="30"/>
              </w:rPr>
            </w:pPr>
            <w:r>
              <w:rPr>
                <w:rFonts w:hint="eastAsia" w:ascii="宋体" w:hAnsi="宋体"/>
                <w:b/>
                <w:sz w:val="30"/>
                <w:szCs w:val="30"/>
              </w:rPr>
              <w:t>评分项目</w:t>
            </w:r>
          </w:p>
        </w:tc>
        <w:tc>
          <w:tcPr>
            <w:tcW w:w="1268" w:type="dxa"/>
            <w:noWrap w:val="0"/>
            <w:vAlign w:val="center"/>
          </w:tcPr>
          <w:p w14:paraId="3EA3B88F">
            <w:pPr>
              <w:tabs>
                <w:tab w:val="left" w:pos="622"/>
              </w:tabs>
              <w:jc w:val="center"/>
              <w:rPr>
                <w:rFonts w:hint="eastAsia" w:ascii="宋体" w:hAnsi="宋体"/>
                <w:b/>
                <w:sz w:val="30"/>
                <w:szCs w:val="30"/>
              </w:rPr>
            </w:pPr>
            <w:r>
              <w:rPr>
                <w:rFonts w:hint="eastAsia" w:ascii="宋体" w:hAnsi="宋体"/>
                <w:b/>
                <w:sz w:val="30"/>
                <w:szCs w:val="30"/>
              </w:rPr>
              <w:t>分值</w:t>
            </w:r>
          </w:p>
        </w:tc>
        <w:tc>
          <w:tcPr>
            <w:tcW w:w="4117" w:type="dxa"/>
            <w:noWrap w:val="0"/>
            <w:vAlign w:val="center"/>
          </w:tcPr>
          <w:p w14:paraId="6210DA7D">
            <w:pPr>
              <w:tabs>
                <w:tab w:val="left" w:pos="622"/>
              </w:tabs>
              <w:jc w:val="center"/>
              <w:rPr>
                <w:rFonts w:hint="eastAsia" w:ascii="宋体" w:hAnsi="宋体"/>
                <w:b/>
                <w:sz w:val="30"/>
                <w:szCs w:val="30"/>
              </w:rPr>
            </w:pPr>
            <w:r>
              <w:rPr>
                <w:rFonts w:hint="eastAsia" w:ascii="宋体" w:hAnsi="宋体"/>
                <w:b/>
                <w:sz w:val="30"/>
                <w:szCs w:val="30"/>
              </w:rPr>
              <w:t>评分标准</w:t>
            </w:r>
          </w:p>
        </w:tc>
        <w:tc>
          <w:tcPr>
            <w:tcW w:w="1462" w:type="dxa"/>
            <w:noWrap w:val="0"/>
            <w:vAlign w:val="center"/>
          </w:tcPr>
          <w:p w14:paraId="1BDF9CAC">
            <w:pPr>
              <w:tabs>
                <w:tab w:val="left" w:pos="622"/>
              </w:tabs>
              <w:jc w:val="center"/>
              <w:rPr>
                <w:rFonts w:hint="eastAsia" w:ascii="宋体" w:hAnsi="宋体"/>
                <w:b/>
                <w:sz w:val="30"/>
                <w:szCs w:val="30"/>
              </w:rPr>
            </w:pPr>
            <w:r>
              <w:rPr>
                <w:rFonts w:hint="eastAsia" w:ascii="宋体" w:hAnsi="宋体"/>
                <w:b/>
                <w:sz w:val="30"/>
                <w:szCs w:val="30"/>
              </w:rPr>
              <w:t>得分</w:t>
            </w:r>
          </w:p>
        </w:tc>
      </w:tr>
      <w:tr w14:paraId="556F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675" w:type="dxa"/>
            <w:noWrap w:val="0"/>
            <w:vAlign w:val="center"/>
          </w:tcPr>
          <w:p w14:paraId="5B14A599">
            <w:pPr>
              <w:tabs>
                <w:tab w:val="left" w:pos="622"/>
              </w:tabs>
              <w:spacing w:line="440" w:lineRule="exact"/>
              <w:jc w:val="center"/>
              <w:rPr>
                <w:rFonts w:hint="eastAsia" w:ascii="宋体" w:hAnsi="宋体"/>
                <w:b/>
                <w:sz w:val="28"/>
                <w:szCs w:val="28"/>
                <w:highlight w:val="none"/>
              </w:rPr>
            </w:pPr>
            <w:r>
              <w:rPr>
                <w:rFonts w:hint="eastAsia" w:ascii="宋体" w:hAnsi="宋体"/>
                <w:b/>
                <w:sz w:val="28"/>
                <w:szCs w:val="28"/>
                <w:highlight w:val="none"/>
                <w:lang w:eastAsia="zh-CN"/>
              </w:rPr>
              <w:t>比选</w:t>
            </w:r>
            <w:r>
              <w:rPr>
                <w:rFonts w:hint="eastAsia" w:ascii="宋体" w:hAnsi="宋体"/>
                <w:b/>
                <w:sz w:val="28"/>
                <w:szCs w:val="28"/>
                <w:highlight w:val="none"/>
              </w:rPr>
              <w:t>报价</w:t>
            </w:r>
          </w:p>
        </w:tc>
        <w:tc>
          <w:tcPr>
            <w:tcW w:w="1268" w:type="dxa"/>
            <w:noWrap w:val="0"/>
            <w:vAlign w:val="center"/>
          </w:tcPr>
          <w:p w14:paraId="0F3D0A48">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25</w:t>
            </w:r>
            <w:r>
              <w:rPr>
                <w:rFonts w:hint="eastAsia" w:ascii="宋体" w:hAnsi="宋体"/>
                <w:sz w:val="28"/>
                <w:szCs w:val="28"/>
                <w:highlight w:val="none"/>
              </w:rPr>
              <w:t>分</w:t>
            </w:r>
          </w:p>
        </w:tc>
        <w:tc>
          <w:tcPr>
            <w:tcW w:w="4117" w:type="dxa"/>
            <w:noWrap w:val="0"/>
            <w:vAlign w:val="center"/>
          </w:tcPr>
          <w:p w14:paraId="68C670D1">
            <w:pPr>
              <w:tabs>
                <w:tab w:val="left" w:pos="622"/>
              </w:tabs>
              <w:spacing w:line="440" w:lineRule="exact"/>
              <w:jc w:val="left"/>
              <w:rPr>
                <w:rFonts w:hint="eastAsia" w:ascii="宋体" w:hAnsi="宋体" w:cs="Times New Roman"/>
                <w:sz w:val="28"/>
                <w:szCs w:val="28"/>
                <w:highlight w:val="none"/>
                <w:lang w:val="en-US" w:eastAsia="zh-CN"/>
              </w:rPr>
            </w:pPr>
            <w:r>
              <w:rPr>
                <w:rFonts w:hint="eastAsia" w:ascii="宋体" w:hAnsi="宋体" w:cs="Times New Roman"/>
                <w:sz w:val="28"/>
                <w:szCs w:val="28"/>
                <w:highlight w:val="none"/>
                <w:lang w:val="en-US" w:eastAsia="zh-CN"/>
              </w:rPr>
              <w:t>①收费超过36万元为无效报价；②所有参与的比选申请人最低的有效报价为基准报价；</w:t>
            </w:r>
          </w:p>
          <w:p w14:paraId="0D5CBBE9">
            <w:pPr>
              <w:tabs>
                <w:tab w:val="left" w:pos="622"/>
              </w:tabs>
              <w:spacing w:line="440" w:lineRule="exact"/>
              <w:jc w:val="left"/>
              <w:rPr>
                <w:rFonts w:ascii="宋体" w:hAnsi="宋体" w:cs="宋体"/>
                <w:color w:val="000000"/>
                <w:sz w:val="28"/>
                <w:szCs w:val="28"/>
                <w:highlight w:val="none"/>
              </w:rPr>
            </w:pPr>
            <w:r>
              <w:rPr>
                <w:rFonts w:hint="eastAsia" w:ascii="宋体" w:hAnsi="宋体" w:cs="Times New Roman"/>
                <w:sz w:val="28"/>
                <w:szCs w:val="28"/>
                <w:highlight w:val="none"/>
                <w:lang w:val="en-US" w:eastAsia="zh-CN"/>
              </w:rPr>
              <w:t>③报价得分=（基准报价/报价）×25分。</w:t>
            </w:r>
          </w:p>
        </w:tc>
        <w:tc>
          <w:tcPr>
            <w:tcW w:w="1462" w:type="dxa"/>
            <w:noWrap w:val="0"/>
            <w:vAlign w:val="center"/>
          </w:tcPr>
          <w:p w14:paraId="1AEF1F2F">
            <w:pPr>
              <w:tabs>
                <w:tab w:val="left" w:pos="622"/>
              </w:tabs>
              <w:jc w:val="center"/>
              <w:rPr>
                <w:rFonts w:hint="eastAsia" w:ascii="宋体" w:hAnsi="宋体"/>
                <w:sz w:val="24"/>
                <w:highlight w:val="yellow"/>
              </w:rPr>
            </w:pPr>
          </w:p>
        </w:tc>
      </w:tr>
      <w:tr w14:paraId="282B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675" w:type="dxa"/>
            <w:noWrap w:val="0"/>
            <w:vAlign w:val="center"/>
          </w:tcPr>
          <w:p w14:paraId="61758A33">
            <w:pPr>
              <w:tabs>
                <w:tab w:val="left" w:pos="622"/>
              </w:tabs>
              <w:spacing w:line="440" w:lineRule="exact"/>
              <w:jc w:val="both"/>
              <w:rPr>
                <w:rFonts w:hint="eastAsia" w:ascii="宋体" w:hAnsi="宋体" w:cs="宋体"/>
                <w:b/>
                <w:color w:val="000000"/>
                <w:kern w:val="0"/>
                <w:sz w:val="28"/>
                <w:szCs w:val="28"/>
                <w:highlight w:val="none"/>
                <w:lang w:bidi="ar"/>
              </w:rPr>
            </w:pPr>
            <w:r>
              <w:rPr>
                <w:rFonts w:hint="eastAsia" w:ascii="宋体" w:hAnsi="宋体"/>
                <w:b/>
                <w:sz w:val="28"/>
                <w:szCs w:val="28"/>
                <w:highlight w:val="none"/>
                <w:lang w:eastAsia="zh-CN"/>
              </w:rPr>
              <w:t>审计服务业绩</w:t>
            </w:r>
          </w:p>
        </w:tc>
        <w:tc>
          <w:tcPr>
            <w:tcW w:w="1268" w:type="dxa"/>
            <w:noWrap w:val="0"/>
            <w:vAlign w:val="center"/>
          </w:tcPr>
          <w:p w14:paraId="5E8A922D">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20分</w:t>
            </w:r>
          </w:p>
        </w:tc>
        <w:tc>
          <w:tcPr>
            <w:tcW w:w="4117" w:type="dxa"/>
            <w:noWrap w:val="0"/>
            <w:vAlign w:val="center"/>
          </w:tcPr>
          <w:p w14:paraId="61ED5ABA">
            <w:pPr>
              <w:tabs>
                <w:tab w:val="left" w:pos="622"/>
              </w:tabs>
              <w:spacing w:line="440" w:lineRule="exact"/>
              <w:jc w:val="left"/>
              <w:rPr>
                <w:rFonts w:hint="default" w:ascii="宋体" w:hAnsi="宋体" w:eastAsia="仿宋_GB2312" w:cs="宋体"/>
                <w:color w:val="000000"/>
                <w:kern w:val="0"/>
                <w:sz w:val="28"/>
                <w:szCs w:val="28"/>
                <w:highlight w:val="none"/>
                <w:lang w:val="en-US" w:eastAsia="zh-CN" w:bidi="ar"/>
              </w:rPr>
            </w:pPr>
            <w:r>
              <w:rPr>
                <w:rFonts w:hint="eastAsia" w:ascii="宋体" w:hAnsi="宋体" w:cs="Times New Roman"/>
                <w:sz w:val="28"/>
                <w:szCs w:val="28"/>
                <w:highlight w:val="none"/>
                <w:lang w:val="en-US" w:eastAsia="zh-CN"/>
              </w:rPr>
              <w:t>每提供一份近三年（2022年9月1日起）取得的相关国有企业审计服务合同等证明材料的得5分，最高20分。</w:t>
            </w:r>
          </w:p>
        </w:tc>
        <w:tc>
          <w:tcPr>
            <w:tcW w:w="1462" w:type="dxa"/>
            <w:noWrap w:val="0"/>
            <w:vAlign w:val="center"/>
          </w:tcPr>
          <w:p w14:paraId="5B2DC2B4">
            <w:pPr>
              <w:tabs>
                <w:tab w:val="left" w:pos="622"/>
              </w:tabs>
              <w:jc w:val="center"/>
              <w:rPr>
                <w:rFonts w:hint="eastAsia" w:ascii="宋体" w:hAnsi="宋体"/>
                <w:sz w:val="24"/>
                <w:highlight w:val="yellow"/>
              </w:rPr>
            </w:pPr>
          </w:p>
        </w:tc>
      </w:tr>
      <w:tr w14:paraId="0820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675" w:type="dxa"/>
            <w:noWrap w:val="0"/>
            <w:vAlign w:val="center"/>
          </w:tcPr>
          <w:p w14:paraId="6C609F7B">
            <w:pPr>
              <w:tabs>
                <w:tab w:val="left" w:pos="622"/>
              </w:tabs>
              <w:spacing w:line="440" w:lineRule="exact"/>
              <w:jc w:val="center"/>
              <w:rPr>
                <w:rFonts w:hint="eastAsia" w:ascii="宋体" w:hAnsi="宋体" w:cs="宋体"/>
                <w:b/>
                <w:color w:val="000000"/>
                <w:kern w:val="0"/>
                <w:sz w:val="28"/>
                <w:szCs w:val="28"/>
                <w:highlight w:val="none"/>
                <w:lang w:val="en-US" w:eastAsia="zh-CN" w:bidi="ar"/>
              </w:rPr>
            </w:pPr>
          </w:p>
          <w:p w14:paraId="1CB1C624">
            <w:pPr>
              <w:tabs>
                <w:tab w:val="left" w:pos="622"/>
              </w:tabs>
              <w:spacing w:line="440" w:lineRule="exact"/>
              <w:jc w:val="center"/>
              <w:rPr>
                <w:rFonts w:hint="eastAsia" w:ascii="宋体" w:hAnsi="宋体" w:cs="宋体"/>
                <w:b/>
                <w:color w:val="000000"/>
                <w:kern w:val="0"/>
                <w:sz w:val="28"/>
                <w:szCs w:val="28"/>
                <w:highlight w:val="none"/>
                <w:lang w:val="en-US" w:eastAsia="zh-CN" w:bidi="ar"/>
              </w:rPr>
            </w:pPr>
            <w:r>
              <w:rPr>
                <w:rFonts w:hint="eastAsia" w:ascii="宋体" w:hAnsi="宋体" w:cs="宋体"/>
                <w:b/>
                <w:color w:val="000000"/>
                <w:kern w:val="0"/>
                <w:sz w:val="28"/>
                <w:szCs w:val="28"/>
                <w:highlight w:val="none"/>
                <w:lang w:val="en-US" w:eastAsia="zh-CN" w:bidi="ar"/>
              </w:rPr>
              <w:t>会计师服务团队人员</w:t>
            </w:r>
          </w:p>
          <w:p w14:paraId="36746544">
            <w:pPr>
              <w:tabs>
                <w:tab w:val="left" w:pos="622"/>
              </w:tabs>
              <w:spacing w:line="440" w:lineRule="exact"/>
              <w:jc w:val="center"/>
              <w:rPr>
                <w:rFonts w:hint="eastAsia" w:ascii="宋体" w:hAnsi="宋体" w:cs="宋体"/>
                <w:b/>
                <w:color w:val="000000"/>
                <w:kern w:val="0"/>
                <w:sz w:val="28"/>
                <w:szCs w:val="28"/>
                <w:highlight w:val="none"/>
                <w:lang w:eastAsia="zh-CN" w:bidi="ar"/>
              </w:rPr>
            </w:pPr>
          </w:p>
        </w:tc>
        <w:tc>
          <w:tcPr>
            <w:tcW w:w="1268" w:type="dxa"/>
            <w:noWrap w:val="0"/>
            <w:vAlign w:val="center"/>
          </w:tcPr>
          <w:p w14:paraId="3C9A69FE">
            <w:pPr>
              <w:tabs>
                <w:tab w:val="left" w:pos="622"/>
              </w:tabs>
              <w:spacing w:line="440" w:lineRule="exact"/>
              <w:jc w:val="center"/>
              <w:rPr>
                <w:rFonts w:hint="eastAsia" w:ascii="宋体" w:hAnsi="宋体"/>
                <w:sz w:val="28"/>
                <w:szCs w:val="28"/>
                <w:highlight w:val="none"/>
                <w:lang w:val="en-US" w:eastAsia="zh-CN"/>
              </w:rPr>
            </w:pPr>
          </w:p>
          <w:p w14:paraId="1B54E760">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20</w:t>
            </w:r>
            <w:r>
              <w:rPr>
                <w:rFonts w:hint="eastAsia" w:ascii="宋体" w:hAnsi="宋体"/>
                <w:sz w:val="28"/>
                <w:szCs w:val="28"/>
                <w:highlight w:val="none"/>
              </w:rPr>
              <w:t>分</w:t>
            </w:r>
          </w:p>
          <w:p w14:paraId="75AF43F0">
            <w:pPr>
              <w:tabs>
                <w:tab w:val="left" w:pos="622"/>
              </w:tabs>
              <w:spacing w:line="440" w:lineRule="exact"/>
              <w:jc w:val="center"/>
              <w:rPr>
                <w:rFonts w:hint="eastAsia" w:ascii="宋体" w:hAnsi="宋体"/>
                <w:sz w:val="28"/>
                <w:szCs w:val="28"/>
                <w:highlight w:val="none"/>
                <w:lang w:val="en-US" w:eastAsia="zh-CN"/>
              </w:rPr>
            </w:pPr>
          </w:p>
        </w:tc>
        <w:tc>
          <w:tcPr>
            <w:tcW w:w="4117" w:type="dxa"/>
            <w:noWrap w:val="0"/>
            <w:vAlign w:val="center"/>
          </w:tcPr>
          <w:p w14:paraId="75803AB1">
            <w:pPr>
              <w:tabs>
                <w:tab w:val="left" w:pos="622"/>
              </w:tabs>
              <w:spacing w:line="440" w:lineRule="exact"/>
              <w:jc w:val="left"/>
              <w:rPr>
                <w:rFonts w:hint="eastAsia" w:ascii="宋体" w:hAnsi="宋体"/>
                <w:sz w:val="28"/>
                <w:szCs w:val="28"/>
                <w:highlight w:val="none"/>
                <w:lang w:eastAsia="zh-CN"/>
              </w:rPr>
            </w:pPr>
            <w:r>
              <w:rPr>
                <w:rFonts w:hint="eastAsia" w:ascii="宋体" w:hAnsi="宋体" w:cs="Times New Roman"/>
                <w:sz w:val="28"/>
                <w:szCs w:val="28"/>
                <w:highlight w:val="none"/>
                <w:lang w:val="en-US" w:eastAsia="zh-CN"/>
              </w:rPr>
              <w:t>服务本次审计业务的具备审计服务从业资格证书的审计成员每有1人得5分，最高20分，注：以上人员证书除提供证明文件复印件或扫描件外同时应提供投标人为该人员缴纳近1年内任意连续3个月的社保证明材料，否则不得分。</w:t>
            </w:r>
          </w:p>
        </w:tc>
        <w:tc>
          <w:tcPr>
            <w:tcW w:w="1462" w:type="dxa"/>
            <w:noWrap w:val="0"/>
            <w:vAlign w:val="center"/>
          </w:tcPr>
          <w:p w14:paraId="50B3D8A6">
            <w:pPr>
              <w:tabs>
                <w:tab w:val="left" w:pos="622"/>
              </w:tabs>
              <w:jc w:val="center"/>
              <w:rPr>
                <w:rFonts w:hint="eastAsia" w:ascii="宋体" w:hAnsi="宋体"/>
                <w:sz w:val="24"/>
                <w:highlight w:val="yellow"/>
              </w:rPr>
            </w:pPr>
          </w:p>
        </w:tc>
      </w:tr>
      <w:tr w14:paraId="55F4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75" w:type="dxa"/>
            <w:noWrap w:val="0"/>
            <w:vAlign w:val="center"/>
          </w:tcPr>
          <w:p w14:paraId="01123D34">
            <w:pPr>
              <w:tabs>
                <w:tab w:val="left" w:pos="622"/>
              </w:tabs>
              <w:spacing w:line="440" w:lineRule="exact"/>
              <w:jc w:val="center"/>
              <w:rPr>
                <w:rFonts w:hint="eastAsia" w:ascii="宋体" w:hAnsi="宋体" w:cs="Times New Roman"/>
                <w:b/>
                <w:sz w:val="28"/>
                <w:szCs w:val="28"/>
                <w:highlight w:val="none"/>
                <w:lang w:val="en-US" w:eastAsia="zh-CN"/>
              </w:rPr>
            </w:pPr>
            <w:r>
              <w:rPr>
                <w:rFonts w:hint="eastAsia" w:ascii="宋体" w:hAnsi="宋体" w:cs="宋体"/>
                <w:b/>
                <w:color w:val="000000"/>
                <w:kern w:val="0"/>
                <w:sz w:val="28"/>
                <w:szCs w:val="28"/>
                <w:highlight w:val="none"/>
                <w:lang w:bidi="ar"/>
              </w:rPr>
              <w:t>服务方案</w:t>
            </w:r>
          </w:p>
        </w:tc>
        <w:tc>
          <w:tcPr>
            <w:tcW w:w="1268" w:type="dxa"/>
            <w:noWrap w:val="0"/>
            <w:vAlign w:val="center"/>
          </w:tcPr>
          <w:p w14:paraId="66FAD62E">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35</w:t>
            </w:r>
            <w:r>
              <w:rPr>
                <w:rFonts w:hint="eastAsia" w:ascii="宋体" w:hAnsi="宋体"/>
                <w:sz w:val="28"/>
                <w:szCs w:val="28"/>
                <w:highlight w:val="none"/>
              </w:rPr>
              <w:t>分</w:t>
            </w:r>
          </w:p>
        </w:tc>
        <w:tc>
          <w:tcPr>
            <w:tcW w:w="4117" w:type="dxa"/>
            <w:noWrap w:val="0"/>
            <w:vAlign w:val="center"/>
          </w:tcPr>
          <w:p w14:paraId="43123F1A">
            <w:pPr>
              <w:tabs>
                <w:tab w:val="left" w:pos="622"/>
              </w:tabs>
              <w:spacing w:line="440" w:lineRule="exact"/>
              <w:jc w:val="left"/>
              <w:rPr>
                <w:rFonts w:hint="default" w:ascii="宋体" w:hAnsi="宋体" w:eastAsia="宋体" w:cs="宋体"/>
                <w:color w:val="000000"/>
                <w:kern w:val="0"/>
                <w:sz w:val="28"/>
                <w:szCs w:val="28"/>
                <w:highlight w:val="none"/>
                <w:lang w:val="en-US" w:eastAsia="zh-CN" w:bidi="ar"/>
              </w:rPr>
            </w:pPr>
            <w:r>
              <w:rPr>
                <w:rFonts w:hint="eastAsia" w:ascii="宋体" w:hAnsi="宋体" w:cs="Times New Roman"/>
                <w:sz w:val="28"/>
                <w:szCs w:val="28"/>
                <w:highlight w:val="none"/>
                <w:lang w:val="en-US" w:eastAsia="zh-CN"/>
              </w:rPr>
              <w:t>①提供审计服务时间安排优秀的得8—15分，良好的得1—7分，没有不得分；②审计服务方案详细、完好、全面，在审计服务中与金融机构、财务等中介机构协调沟通有关内容、困难问题和解决方案等要素，相关方案和举措优秀的得11—20分，良好的得1—10分，没有不得分。</w:t>
            </w:r>
          </w:p>
        </w:tc>
        <w:tc>
          <w:tcPr>
            <w:tcW w:w="1462" w:type="dxa"/>
            <w:noWrap w:val="0"/>
            <w:vAlign w:val="center"/>
          </w:tcPr>
          <w:p w14:paraId="464AEB48">
            <w:pPr>
              <w:tabs>
                <w:tab w:val="left" w:pos="622"/>
              </w:tabs>
              <w:jc w:val="center"/>
              <w:rPr>
                <w:rFonts w:hint="eastAsia" w:ascii="宋体" w:hAnsi="宋体"/>
                <w:sz w:val="24"/>
                <w:highlight w:val="yellow"/>
              </w:rPr>
            </w:pPr>
          </w:p>
        </w:tc>
      </w:tr>
      <w:tr w14:paraId="7383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75" w:type="dxa"/>
            <w:noWrap w:val="0"/>
            <w:vAlign w:val="center"/>
          </w:tcPr>
          <w:p w14:paraId="31BA1318">
            <w:pPr>
              <w:tabs>
                <w:tab w:val="left" w:pos="622"/>
              </w:tabs>
              <w:jc w:val="center"/>
              <w:rPr>
                <w:rFonts w:hint="eastAsia" w:ascii="宋体" w:hAnsi="宋体"/>
                <w:b/>
                <w:sz w:val="30"/>
                <w:szCs w:val="30"/>
              </w:rPr>
            </w:pPr>
            <w:r>
              <w:rPr>
                <w:rFonts w:hint="eastAsia" w:ascii="宋体" w:hAnsi="宋体"/>
                <w:b/>
                <w:sz w:val="30"/>
                <w:szCs w:val="30"/>
              </w:rPr>
              <w:t>合计</w:t>
            </w:r>
          </w:p>
        </w:tc>
        <w:tc>
          <w:tcPr>
            <w:tcW w:w="1268" w:type="dxa"/>
            <w:noWrap w:val="0"/>
            <w:vAlign w:val="center"/>
          </w:tcPr>
          <w:p w14:paraId="523C7A4A">
            <w:pPr>
              <w:tabs>
                <w:tab w:val="left" w:pos="622"/>
              </w:tabs>
              <w:jc w:val="center"/>
              <w:rPr>
                <w:rFonts w:hint="eastAsia" w:ascii="宋体" w:hAnsi="宋体"/>
                <w:b/>
                <w:sz w:val="30"/>
                <w:szCs w:val="30"/>
              </w:rPr>
            </w:pPr>
            <w:r>
              <w:rPr>
                <w:rFonts w:hint="eastAsia" w:ascii="宋体" w:hAnsi="宋体"/>
                <w:b/>
                <w:sz w:val="30"/>
                <w:szCs w:val="30"/>
              </w:rPr>
              <w:t>100分</w:t>
            </w:r>
          </w:p>
        </w:tc>
        <w:tc>
          <w:tcPr>
            <w:tcW w:w="4117" w:type="dxa"/>
            <w:noWrap w:val="0"/>
            <w:vAlign w:val="center"/>
          </w:tcPr>
          <w:p w14:paraId="0DAB957E">
            <w:pPr>
              <w:tabs>
                <w:tab w:val="left" w:pos="622"/>
              </w:tabs>
              <w:jc w:val="center"/>
              <w:rPr>
                <w:rFonts w:hint="eastAsia" w:ascii="宋体" w:hAnsi="宋体"/>
                <w:sz w:val="24"/>
              </w:rPr>
            </w:pPr>
          </w:p>
        </w:tc>
        <w:tc>
          <w:tcPr>
            <w:tcW w:w="1462" w:type="dxa"/>
            <w:noWrap w:val="0"/>
            <w:vAlign w:val="center"/>
          </w:tcPr>
          <w:p w14:paraId="45C2E1E4">
            <w:pPr>
              <w:tabs>
                <w:tab w:val="left" w:pos="622"/>
              </w:tabs>
              <w:jc w:val="center"/>
              <w:rPr>
                <w:rFonts w:hint="eastAsia" w:ascii="宋体" w:hAnsi="宋体"/>
                <w:sz w:val="24"/>
              </w:rPr>
            </w:pPr>
          </w:p>
        </w:tc>
      </w:tr>
    </w:tbl>
    <w:p w14:paraId="29CD78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39D5D5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7F7630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68D4D3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4B2C14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62FDAE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71B7E9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7F7561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354511F4">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7797748">
      <w:pPr>
        <w:pStyle w:val="19"/>
        <w:rPr>
          <w:rFonts w:hint="eastAsia" w:ascii="仿宋" w:hAnsi="仿宋" w:eastAsia="仿宋" w:cs="仿宋"/>
          <w:b/>
          <w:bCs/>
          <w:color w:val="auto"/>
          <w:sz w:val="40"/>
          <w:szCs w:val="40"/>
          <w:shd w:val="clear" w:color="050000" w:fill="auto"/>
        </w:rPr>
      </w:pPr>
    </w:p>
    <w:p w14:paraId="6F08FD24">
      <w:pPr>
        <w:spacing w:line="360" w:lineRule="auto"/>
        <w:jc w:val="center"/>
        <w:rPr>
          <w:rFonts w:hint="eastAsia" w:ascii="仿宋" w:hAnsi="仿宋" w:eastAsia="仿宋" w:cs="仿宋"/>
          <w:b/>
          <w:color w:val="auto"/>
          <w:sz w:val="40"/>
          <w:szCs w:val="40"/>
          <w:shd w:val="clear" w:color="060000" w:fill="auto"/>
        </w:rPr>
      </w:pPr>
    </w:p>
    <w:p w14:paraId="524B1CE5">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091EB653">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76D7E8A5">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4023138"/>
      <w:bookmarkStart w:id="8" w:name="_Toc186274126"/>
    </w:p>
    <w:p w14:paraId="75CBAC8E">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17E20E53">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许昌城投新能源科技有限公司</w:t>
      </w:r>
    </w:p>
    <w:p w14:paraId="05949E01">
      <w:pPr>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3年联审合并口径审计</w:t>
      </w:r>
      <w:r>
        <w:rPr>
          <w:rFonts w:hint="eastAsia" w:ascii="方正小标宋简体" w:hAnsi="方正小标宋简体" w:eastAsia="方正小标宋简体" w:cs="方正小标宋简体"/>
          <w:b w:val="0"/>
          <w:bCs w:val="0"/>
          <w:sz w:val="52"/>
          <w:szCs w:val="52"/>
        </w:rPr>
        <w:t>服务</w:t>
      </w:r>
    </w:p>
    <w:p w14:paraId="6C93D79E">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项目编号：RZB-2025007号</w:t>
      </w:r>
      <w:r>
        <w:rPr>
          <w:rFonts w:hint="eastAsia" w:ascii="仿宋" w:hAnsi="仿宋" w:eastAsia="仿宋" w:cs="仿宋"/>
          <w:b/>
          <w:color w:val="auto"/>
          <w:spacing w:val="60"/>
          <w:sz w:val="28"/>
          <w:szCs w:val="28"/>
          <w:shd w:val="clear" w:color="060000" w:fill="auto"/>
          <w:lang w:eastAsia="zh-CN"/>
        </w:rPr>
        <w:t>）</w:t>
      </w:r>
    </w:p>
    <w:p w14:paraId="69A53B31">
      <w:pPr>
        <w:jc w:val="center"/>
        <w:rPr>
          <w:rFonts w:hint="eastAsia" w:ascii="仿宋" w:hAnsi="仿宋" w:eastAsia="仿宋" w:cs="仿宋"/>
          <w:color w:val="auto"/>
          <w:sz w:val="28"/>
          <w:szCs w:val="28"/>
          <w:shd w:val="clear" w:color="050000" w:fill="auto"/>
        </w:rPr>
      </w:pPr>
    </w:p>
    <w:p w14:paraId="356C9B26">
      <w:pPr>
        <w:jc w:val="center"/>
        <w:rPr>
          <w:rFonts w:hint="eastAsia" w:ascii="仿宋" w:hAnsi="仿宋" w:eastAsia="仿宋" w:cs="仿宋"/>
          <w:color w:val="auto"/>
          <w:sz w:val="28"/>
          <w:szCs w:val="28"/>
          <w:shd w:val="clear" w:color="050000" w:fill="auto"/>
        </w:rPr>
      </w:pPr>
    </w:p>
    <w:p w14:paraId="6D0447F1">
      <w:pPr>
        <w:pStyle w:val="3"/>
        <w:numPr>
          <w:ilvl w:val="1"/>
          <w:numId w:val="0"/>
        </w:numPr>
        <w:rPr>
          <w:rFonts w:hint="eastAsia"/>
        </w:rPr>
      </w:pPr>
    </w:p>
    <w:p w14:paraId="57A520EF">
      <w:pPr>
        <w:rPr>
          <w:rFonts w:hint="eastAsia" w:ascii="仿宋" w:hAnsi="仿宋" w:eastAsia="仿宋" w:cs="仿宋"/>
          <w:color w:val="auto"/>
          <w:sz w:val="28"/>
          <w:szCs w:val="28"/>
          <w:shd w:val="clear" w:color="050000" w:fill="auto"/>
        </w:rPr>
      </w:pPr>
    </w:p>
    <w:p w14:paraId="7CA2CF52">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3DD2FD6D">
      <w:pPr>
        <w:pStyle w:val="3"/>
        <w:numPr>
          <w:ilvl w:val="1"/>
          <w:numId w:val="0"/>
        </w:numPr>
        <w:rPr>
          <w:rFonts w:hint="eastAsia" w:ascii="仿宋" w:hAnsi="仿宋" w:eastAsia="仿宋" w:cs="仿宋"/>
          <w:sz w:val="32"/>
          <w:szCs w:val="32"/>
        </w:rPr>
      </w:pPr>
    </w:p>
    <w:p w14:paraId="4F36A0E2">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5FA1E6D6">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49D7BEF5">
      <w:pPr>
        <w:pStyle w:val="14"/>
        <w:spacing w:line="360" w:lineRule="auto"/>
        <w:jc w:val="center"/>
        <w:rPr>
          <w:rFonts w:hint="eastAsia" w:ascii="仿宋" w:hAnsi="仿宋" w:eastAsia="仿宋" w:cs="仿宋"/>
          <w:b/>
          <w:snapToGrid w:val="0"/>
          <w:color w:val="auto"/>
          <w:kern w:val="0"/>
          <w:sz w:val="36"/>
          <w:szCs w:val="36"/>
          <w:lang w:val="zh-CN" w:eastAsia="zh-CN"/>
        </w:rPr>
      </w:pPr>
    </w:p>
    <w:p w14:paraId="1EA5041C">
      <w:pPr>
        <w:pStyle w:val="14"/>
        <w:spacing w:line="360" w:lineRule="auto"/>
        <w:jc w:val="center"/>
        <w:rPr>
          <w:rFonts w:hint="eastAsia" w:ascii="仿宋" w:hAnsi="仿宋" w:eastAsia="仿宋" w:cs="仿宋"/>
          <w:b/>
          <w:snapToGrid w:val="0"/>
          <w:color w:val="auto"/>
          <w:kern w:val="0"/>
          <w:sz w:val="36"/>
          <w:szCs w:val="36"/>
          <w:lang w:val="zh-CN" w:eastAsia="zh-CN"/>
        </w:rPr>
      </w:pPr>
    </w:p>
    <w:p w14:paraId="31A2021F">
      <w:pPr>
        <w:pStyle w:val="14"/>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24AC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514DF57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423" w:type="dxa"/>
            <w:vAlign w:val="center"/>
          </w:tcPr>
          <w:p w14:paraId="43CF0750">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91" w:type="dxa"/>
            <w:vAlign w:val="center"/>
          </w:tcPr>
          <w:p w14:paraId="60E78E0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1" w:type="dxa"/>
            <w:vAlign w:val="center"/>
          </w:tcPr>
          <w:p w14:paraId="0509933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023" w:type="dxa"/>
            <w:vAlign w:val="center"/>
          </w:tcPr>
          <w:p w14:paraId="69F5D229">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36EE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3D9323F">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423" w:type="dxa"/>
            <w:vAlign w:val="center"/>
          </w:tcPr>
          <w:p w14:paraId="43D92F9B">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91" w:type="dxa"/>
            <w:vAlign w:val="center"/>
          </w:tcPr>
          <w:p w14:paraId="5C0E9DC3">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0F0CCFF8">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6ECD689F">
            <w:pPr>
              <w:snapToGrid w:val="0"/>
              <w:spacing w:line="540" w:lineRule="exact"/>
              <w:rPr>
                <w:rFonts w:hint="eastAsia" w:ascii="仿宋" w:hAnsi="仿宋" w:eastAsia="仿宋" w:cs="仿宋"/>
                <w:color w:val="auto"/>
                <w:sz w:val="22"/>
                <w:szCs w:val="22"/>
                <w:highlight w:val="none"/>
              </w:rPr>
            </w:pPr>
          </w:p>
        </w:tc>
      </w:tr>
      <w:tr w14:paraId="74C3E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3660F68C">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423" w:type="dxa"/>
            <w:vAlign w:val="center"/>
          </w:tcPr>
          <w:p w14:paraId="5556C4CE">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91" w:type="dxa"/>
            <w:vAlign w:val="center"/>
          </w:tcPr>
          <w:p w14:paraId="2622B041">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153D549">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5B9E8D78">
            <w:pPr>
              <w:snapToGrid w:val="0"/>
              <w:spacing w:line="540" w:lineRule="exact"/>
              <w:rPr>
                <w:rFonts w:hint="eastAsia" w:ascii="仿宋" w:hAnsi="仿宋" w:eastAsia="仿宋" w:cs="仿宋"/>
                <w:color w:val="auto"/>
                <w:sz w:val="22"/>
                <w:szCs w:val="22"/>
                <w:highlight w:val="none"/>
              </w:rPr>
            </w:pPr>
          </w:p>
        </w:tc>
      </w:tr>
      <w:tr w14:paraId="2EE8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054B459">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423" w:type="dxa"/>
            <w:vAlign w:val="center"/>
          </w:tcPr>
          <w:p w14:paraId="3070D97F">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91" w:type="dxa"/>
            <w:vAlign w:val="center"/>
          </w:tcPr>
          <w:p w14:paraId="52076133">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28486BBC">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7C7543A">
            <w:pPr>
              <w:snapToGrid w:val="0"/>
              <w:spacing w:line="540" w:lineRule="exact"/>
              <w:rPr>
                <w:rFonts w:hint="eastAsia" w:ascii="仿宋" w:hAnsi="仿宋" w:eastAsia="仿宋" w:cs="仿宋"/>
                <w:color w:val="auto"/>
                <w:sz w:val="22"/>
                <w:szCs w:val="22"/>
                <w:highlight w:val="none"/>
              </w:rPr>
            </w:pPr>
          </w:p>
        </w:tc>
      </w:tr>
      <w:tr w14:paraId="50AD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900059D">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423" w:type="dxa"/>
            <w:vAlign w:val="center"/>
          </w:tcPr>
          <w:p w14:paraId="1E4FA25A">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营业执照、执业证书等有效证件</w:t>
            </w:r>
          </w:p>
        </w:tc>
        <w:tc>
          <w:tcPr>
            <w:tcW w:w="1591" w:type="dxa"/>
            <w:vAlign w:val="center"/>
          </w:tcPr>
          <w:p w14:paraId="411D0E4F">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520130C8">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425B3125">
            <w:pPr>
              <w:snapToGrid w:val="0"/>
              <w:spacing w:line="540" w:lineRule="exact"/>
              <w:rPr>
                <w:rFonts w:hint="eastAsia" w:ascii="仿宋" w:hAnsi="仿宋" w:eastAsia="仿宋" w:cs="仿宋"/>
                <w:color w:val="auto"/>
                <w:sz w:val="22"/>
                <w:szCs w:val="22"/>
                <w:highlight w:val="none"/>
              </w:rPr>
            </w:pPr>
          </w:p>
        </w:tc>
      </w:tr>
      <w:tr w14:paraId="7E62A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4" w:hRule="exact"/>
        </w:trPr>
        <w:tc>
          <w:tcPr>
            <w:tcW w:w="758" w:type="dxa"/>
            <w:vAlign w:val="center"/>
          </w:tcPr>
          <w:p w14:paraId="560DD0D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423" w:type="dxa"/>
            <w:vAlign w:val="center"/>
          </w:tcPr>
          <w:p w14:paraId="009AE0AF">
            <w:pPr>
              <w:pStyle w:val="14"/>
              <w:keepNext w:val="0"/>
              <w:keepLines w:val="0"/>
              <w:pageBreakBefore w:val="0"/>
              <w:widowControl/>
              <w:kinsoku w:val="0"/>
              <w:wordWrap/>
              <w:overflowPunct w:val="0"/>
              <w:topLinePunct w:val="0"/>
              <w:autoSpaceDE w:val="0"/>
              <w:autoSpaceDN w:val="0"/>
              <w:bidi w:val="0"/>
              <w:adjustRightInd/>
              <w:snapToGrid/>
              <w:spacing w:line="400" w:lineRule="exact"/>
              <w:textAlignment w:val="auto"/>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债券从业资质证明、中国证券监督管理委员会及中华人民共和国财政部从事证券服务业务会计师务所备案证明</w:t>
            </w:r>
          </w:p>
        </w:tc>
        <w:tc>
          <w:tcPr>
            <w:tcW w:w="1591" w:type="dxa"/>
            <w:vAlign w:val="center"/>
          </w:tcPr>
          <w:p w14:paraId="4785FF7D">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09D9EB9B">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0F50D94">
            <w:pPr>
              <w:snapToGrid w:val="0"/>
              <w:spacing w:line="540" w:lineRule="exact"/>
              <w:rPr>
                <w:rFonts w:hint="eastAsia" w:ascii="仿宋" w:hAnsi="仿宋" w:eastAsia="仿宋" w:cs="仿宋"/>
                <w:color w:val="auto"/>
                <w:sz w:val="22"/>
                <w:szCs w:val="22"/>
                <w:highlight w:val="none"/>
              </w:rPr>
            </w:pPr>
          </w:p>
        </w:tc>
      </w:tr>
      <w:tr w14:paraId="350F6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4" w:hRule="exact"/>
        </w:trPr>
        <w:tc>
          <w:tcPr>
            <w:tcW w:w="758" w:type="dxa"/>
            <w:vAlign w:val="center"/>
          </w:tcPr>
          <w:p w14:paraId="710E88E5">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423" w:type="dxa"/>
            <w:vAlign w:val="center"/>
          </w:tcPr>
          <w:p w14:paraId="44CE3753">
            <w:pPr>
              <w:pStyle w:val="14"/>
              <w:keepNext w:val="0"/>
              <w:keepLines w:val="0"/>
              <w:pageBreakBefore w:val="0"/>
              <w:widowControl/>
              <w:kinsoku w:val="0"/>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投标人和项目负责人信用中国等经营情况无异常查询证明</w:t>
            </w:r>
          </w:p>
        </w:tc>
        <w:tc>
          <w:tcPr>
            <w:tcW w:w="1591" w:type="dxa"/>
            <w:vAlign w:val="center"/>
          </w:tcPr>
          <w:p w14:paraId="4ABAD4EC">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688DBE38">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19A9BE68">
            <w:pPr>
              <w:snapToGrid w:val="0"/>
              <w:spacing w:line="540" w:lineRule="exact"/>
              <w:rPr>
                <w:rFonts w:hint="eastAsia" w:ascii="仿宋" w:hAnsi="仿宋" w:eastAsia="仿宋" w:cs="仿宋"/>
                <w:color w:val="auto"/>
                <w:sz w:val="22"/>
                <w:szCs w:val="22"/>
                <w:highlight w:val="none"/>
              </w:rPr>
            </w:pPr>
          </w:p>
        </w:tc>
      </w:tr>
      <w:tr w14:paraId="23BCF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5F9FE70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423" w:type="dxa"/>
            <w:vAlign w:val="center"/>
          </w:tcPr>
          <w:p w14:paraId="15506F09">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91" w:type="dxa"/>
            <w:vAlign w:val="center"/>
          </w:tcPr>
          <w:p w14:paraId="36F7D586">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01539A4E">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E737FC5">
            <w:pPr>
              <w:snapToGrid w:val="0"/>
              <w:spacing w:line="540" w:lineRule="exact"/>
              <w:rPr>
                <w:rFonts w:hint="eastAsia" w:ascii="仿宋" w:hAnsi="仿宋" w:eastAsia="仿宋" w:cs="仿宋"/>
                <w:color w:val="auto"/>
                <w:sz w:val="22"/>
                <w:szCs w:val="22"/>
                <w:highlight w:val="none"/>
              </w:rPr>
            </w:pPr>
          </w:p>
        </w:tc>
      </w:tr>
      <w:tr w14:paraId="79705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7124B7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423" w:type="dxa"/>
            <w:vAlign w:val="center"/>
          </w:tcPr>
          <w:p w14:paraId="7CD0F252">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廉洁自律承诺书</w:t>
            </w:r>
          </w:p>
        </w:tc>
        <w:tc>
          <w:tcPr>
            <w:tcW w:w="1591" w:type="dxa"/>
            <w:vAlign w:val="center"/>
          </w:tcPr>
          <w:p w14:paraId="4FAB9C27">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5FFD0E41">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60614753">
            <w:pPr>
              <w:snapToGrid w:val="0"/>
              <w:spacing w:line="540" w:lineRule="exact"/>
              <w:rPr>
                <w:rFonts w:hint="eastAsia" w:ascii="仿宋" w:hAnsi="仿宋" w:eastAsia="仿宋" w:cs="仿宋"/>
                <w:color w:val="auto"/>
                <w:sz w:val="22"/>
                <w:szCs w:val="22"/>
                <w:highlight w:val="none"/>
              </w:rPr>
            </w:pPr>
          </w:p>
        </w:tc>
      </w:tr>
      <w:tr w14:paraId="53FD9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64334B1">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423" w:type="dxa"/>
            <w:vAlign w:val="center"/>
          </w:tcPr>
          <w:p w14:paraId="23E900AC">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服务承诺书</w:t>
            </w:r>
          </w:p>
        </w:tc>
        <w:tc>
          <w:tcPr>
            <w:tcW w:w="1591" w:type="dxa"/>
            <w:vAlign w:val="center"/>
          </w:tcPr>
          <w:p w14:paraId="2AF06811">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1D600434">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6695FE8">
            <w:pPr>
              <w:snapToGrid w:val="0"/>
              <w:spacing w:line="540" w:lineRule="exact"/>
              <w:rPr>
                <w:rFonts w:hint="eastAsia" w:ascii="仿宋" w:hAnsi="仿宋" w:eastAsia="仿宋" w:cs="仿宋"/>
                <w:color w:val="auto"/>
                <w:sz w:val="22"/>
                <w:szCs w:val="22"/>
                <w:highlight w:val="none"/>
              </w:rPr>
            </w:pPr>
          </w:p>
        </w:tc>
      </w:tr>
      <w:tr w14:paraId="277D1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75C0087">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423" w:type="dxa"/>
            <w:vAlign w:val="center"/>
          </w:tcPr>
          <w:p w14:paraId="1A6126E7">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91" w:type="dxa"/>
            <w:vAlign w:val="center"/>
          </w:tcPr>
          <w:p w14:paraId="0835E5F5">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423DDAE6">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6400E446">
            <w:pPr>
              <w:snapToGrid w:val="0"/>
              <w:spacing w:line="540" w:lineRule="exact"/>
              <w:rPr>
                <w:rFonts w:hint="eastAsia" w:ascii="仿宋" w:hAnsi="仿宋" w:eastAsia="仿宋" w:cs="仿宋"/>
                <w:color w:val="auto"/>
                <w:sz w:val="22"/>
                <w:szCs w:val="22"/>
                <w:highlight w:val="none"/>
              </w:rPr>
            </w:pPr>
          </w:p>
        </w:tc>
      </w:tr>
      <w:tr w14:paraId="30DC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910DB0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w:t>
            </w:r>
          </w:p>
        </w:tc>
        <w:tc>
          <w:tcPr>
            <w:tcW w:w="4423" w:type="dxa"/>
            <w:vAlign w:val="center"/>
          </w:tcPr>
          <w:p w14:paraId="5CABF4BA">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审计服务方案</w:t>
            </w:r>
          </w:p>
        </w:tc>
        <w:tc>
          <w:tcPr>
            <w:tcW w:w="1591" w:type="dxa"/>
            <w:vAlign w:val="center"/>
          </w:tcPr>
          <w:p w14:paraId="6E8C44F2">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3ACDAE39">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37269123">
            <w:pPr>
              <w:snapToGrid w:val="0"/>
              <w:spacing w:line="540" w:lineRule="exact"/>
              <w:rPr>
                <w:rFonts w:hint="eastAsia" w:ascii="仿宋" w:hAnsi="仿宋" w:eastAsia="仿宋" w:cs="仿宋"/>
                <w:color w:val="auto"/>
                <w:sz w:val="22"/>
                <w:szCs w:val="22"/>
                <w:highlight w:val="none"/>
              </w:rPr>
            </w:pPr>
          </w:p>
        </w:tc>
      </w:tr>
      <w:tr w14:paraId="539DA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6F37C646">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w:t>
            </w:r>
          </w:p>
        </w:tc>
        <w:tc>
          <w:tcPr>
            <w:tcW w:w="4423" w:type="dxa"/>
            <w:vAlign w:val="center"/>
          </w:tcPr>
          <w:p w14:paraId="10765769">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eastAsia="zh-CN"/>
              </w:rPr>
              <w:t>审计服务业绩</w:t>
            </w:r>
          </w:p>
        </w:tc>
        <w:tc>
          <w:tcPr>
            <w:tcW w:w="1591" w:type="dxa"/>
            <w:vAlign w:val="center"/>
          </w:tcPr>
          <w:p w14:paraId="04C61971">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23FEC675">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57B4B1B8">
            <w:pPr>
              <w:snapToGrid w:val="0"/>
              <w:spacing w:line="540" w:lineRule="exact"/>
              <w:rPr>
                <w:rFonts w:hint="eastAsia" w:ascii="仿宋" w:hAnsi="仿宋" w:eastAsia="仿宋" w:cs="仿宋"/>
                <w:color w:val="auto"/>
                <w:sz w:val="22"/>
                <w:szCs w:val="22"/>
                <w:highlight w:val="none"/>
              </w:rPr>
            </w:pPr>
          </w:p>
        </w:tc>
      </w:tr>
      <w:tr w14:paraId="22507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14:paraId="53FA275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w:t>
            </w:r>
          </w:p>
        </w:tc>
        <w:tc>
          <w:tcPr>
            <w:tcW w:w="4423" w:type="dxa"/>
            <w:vAlign w:val="center"/>
          </w:tcPr>
          <w:p w14:paraId="21E069A0">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其他资料</w:t>
            </w:r>
          </w:p>
        </w:tc>
        <w:tc>
          <w:tcPr>
            <w:tcW w:w="1591" w:type="dxa"/>
            <w:vAlign w:val="center"/>
          </w:tcPr>
          <w:p w14:paraId="4AD56124">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68C5DC1D">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31BD921">
            <w:pPr>
              <w:snapToGrid w:val="0"/>
              <w:spacing w:line="540" w:lineRule="exact"/>
              <w:rPr>
                <w:rFonts w:hint="eastAsia" w:ascii="仿宋" w:hAnsi="仿宋" w:eastAsia="仿宋" w:cs="仿宋"/>
                <w:color w:val="auto"/>
                <w:sz w:val="22"/>
                <w:szCs w:val="22"/>
                <w:highlight w:val="none"/>
              </w:rPr>
            </w:pPr>
          </w:p>
        </w:tc>
      </w:tr>
    </w:tbl>
    <w:p w14:paraId="48791368">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BD362E3">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955E48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40599B4">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778AC168">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2290041">
      <w:pPr>
        <w:pStyle w:val="26"/>
        <w:rPr>
          <w:rFonts w:hint="eastAsia" w:ascii="仿宋" w:hAnsi="仿宋" w:eastAsia="仿宋" w:cs="仿宋"/>
          <w:color w:val="auto"/>
          <w:sz w:val="24"/>
          <w:szCs w:val="24"/>
        </w:rPr>
      </w:pPr>
    </w:p>
    <w:p w14:paraId="2C5D5377">
      <w:pPr>
        <w:pStyle w:val="27"/>
        <w:rPr>
          <w:rFonts w:hint="eastAsia" w:ascii="仿宋" w:hAnsi="仿宋" w:eastAsia="仿宋" w:cs="仿宋"/>
          <w:color w:val="auto"/>
          <w:sz w:val="24"/>
          <w:szCs w:val="24"/>
        </w:rPr>
      </w:pPr>
    </w:p>
    <w:p w14:paraId="3CB03A37">
      <w:pPr>
        <w:rPr>
          <w:rFonts w:hint="eastAsia" w:ascii="仿宋" w:hAnsi="仿宋" w:eastAsia="仿宋" w:cs="仿宋"/>
          <w:color w:val="auto"/>
          <w:sz w:val="24"/>
          <w:szCs w:val="24"/>
        </w:rPr>
      </w:pPr>
    </w:p>
    <w:p w14:paraId="11B89DB1">
      <w:pPr>
        <w:pStyle w:val="26"/>
        <w:rPr>
          <w:rFonts w:hint="eastAsia" w:ascii="仿宋" w:hAnsi="仿宋" w:eastAsia="仿宋" w:cs="仿宋"/>
          <w:color w:val="auto"/>
          <w:sz w:val="24"/>
          <w:szCs w:val="24"/>
        </w:rPr>
      </w:pPr>
    </w:p>
    <w:p w14:paraId="16C16EA9">
      <w:pPr>
        <w:pStyle w:val="27"/>
        <w:rPr>
          <w:rFonts w:hint="eastAsia" w:ascii="仿宋" w:hAnsi="仿宋" w:eastAsia="仿宋" w:cs="仿宋"/>
          <w:color w:val="auto"/>
          <w:sz w:val="24"/>
          <w:szCs w:val="24"/>
        </w:rPr>
      </w:pPr>
    </w:p>
    <w:p w14:paraId="599AAECF">
      <w:pPr>
        <w:pStyle w:val="20"/>
        <w:rPr>
          <w:rFonts w:hint="eastAsia" w:ascii="仿宋" w:hAnsi="仿宋" w:eastAsia="仿宋" w:cs="仿宋"/>
          <w:color w:val="auto"/>
          <w:sz w:val="24"/>
          <w:szCs w:val="24"/>
        </w:rPr>
      </w:pPr>
    </w:p>
    <w:p w14:paraId="3F3403E9">
      <w:pPr>
        <w:pStyle w:val="27"/>
        <w:ind w:left="0" w:leftChars="0" w:firstLine="0" w:firstLineChars="0"/>
        <w:rPr>
          <w:rFonts w:hint="eastAsia" w:ascii="仿宋" w:hAnsi="仿宋" w:eastAsia="仿宋" w:cs="仿宋"/>
          <w:color w:val="auto"/>
          <w:sz w:val="24"/>
          <w:szCs w:val="24"/>
        </w:rPr>
      </w:pPr>
    </w:p>
    <w:p w14:paraId="7C639FAC">
      <w:pPr>
        <w:rPr>
          <w:rFonts w:hint="eastAsia"/>
        </w:rPr>
      </w:pPr>
    </w:p>
    <w:p w14:paraId="2928700C">
      <w:pPr>
        <w:pStyle w:val="14"/>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7DF25151">
      <w:pPr>
        <w:pStyle w:val="14"/>
        <w:spacing w:line="360" w:lineRule="auto"/>
        <w:jc w:val="center"/>
        <w:rPr>
          <w:rFonts w:hint="eastAsia" w:ascii="仿宋" w:hAnsi="仿宋" w:eastAsia="仿宋" w:cs="仿宋"/>
          <w:b/>
          <w:snapToGrid w:val="0"/>
          <w:color w:val="auto"/>
          <w:kern w:val="0"/>
          <w:sz w:val="24"/>
          <w:szCs w:val="24"/>
        </w:rPr>
      </w:pPr>
    </w:p>
    <w:p w14:paraId="19059A64">
      <w:pPr>
        <w:spacing w:before="50" w:afterLines="50" w:line="360" w:lineRule="auto"/>
        <w:contextualSpacing/>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RZB-2025007号</w:t>
      </w:r>
    </w:p>
    <w:p w14:paraId="77F5785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Cs w:val="24"/>
        </w:rPr>
        <w:t>项目名称：</w:t>
      </w:r>
      <w:r>
        <w:rPr>
          <w:rFonts w:hint="eastAsia" w:ascii="仿宋" w:hAnsi="仿宋" w:eastAsia="仿宋" w:cs="仿宋"/>
          <w:color w:val="auto"/>
          <w:sz w:val="24"/>
          <w:szCs w:val="24"/>
          <w:lang w:val="en-US" w:eastAsia="zh-CN"/>
        </w:rPr>
        <w:t>许昌城投新能源科技有限公司3年联审合并口径审计服务</w:t>
      </w:r>
    </w:p>
    <w:p w14:paraId="11458D84">
      <w:pPr>
        <w:bidi w:val="0"/>
        <w:rPr>
          <w:rFonts w:hint="eastAsia" w:ascii="仿宋" w:hAnsi="仿宋" w:eastAsia="仿宋" w:cs="仿宋"/>
          <w:color w:val="auto"/>
          <w:sz w:val="24"/>
          <w:szCs w:val="24"/>
          <w:lang w:val="en-US" w:eastAsia="zh-CN"/>
        </w:rPr>
      </w:pPr>
    </w:p>
    <w:tbl>
      <w:tblPr>
        <w:tblStyle w:val="28"/>
        <w:tblpPr w:leftFromText="180" w:rightFromText="180" w:vertAnchor="text" w:horzAnchor="page" w:tblpX="1794" w:tblpY="529"/>
        <w:tblOverlap w:val="never"/>
        <w:tblW w:w="8591" w:type="dxa"/>
        <w:tblInd w:w="0" w:type="dxa"/>
        <w:tblLayout w:type="fixed"/>
        <w:tblCellMar>
          <w:top w:w="0" w:type="dxa"/>
          <w:left w:w="108" w:type="dxa"/>
          <w:bottom w:w="0" w:type="dxa"/>
          <w:right w:w="108" w:type="dxa"/>
        </w:tblCellMar>
      </w:tblPr>
      <w:tblGrid>
        <w:gridCol w:w="741"/>
        <w:gridCol w:w="4143"/>
        <w:gridCol w:w="2615"/>
        <w:gridCol w:w="1092"/>
      </w:tblGrid>
      <w:tr w14:paraId="72ADACFB">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40532868">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14:paraId="5AFB719A">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14:paraId="5B06F369">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6CA21701">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3A097611">
        <w:tblPrEx>
          <w:tblCellMar>
            <w:top w:w="0" w:type="dxa"/>
            <w:left w:w="108" w:type="dxa"/>
            <w:bottom w:w="0" w:type="dxa"/>
            <w:right w:w="108" w:type="dxa"/>
          </w:tblCellMar>
        </w:tblPrEx>
        <w:trPr>
          <w:trHeight w:val="2067" w:hRule="atLeast"/>
        </w:trPr>
        <w:tc>
          <w:tcPr>
            <w:tcW w:w="741" w:type="dxa"/>
            <w:tcBorders>
              <w:top w:val="single" w:color="auto" w:sz="6" w:space="0"/>
              <w:left w:val="single" w:color="auto" w:sz="6" w:space="0"/>
              <w:bottom w:val="single" w:color="auto" w:sz="6" w:space="0"/>
              <w:right w:val="single" w:color="auto" w:sz="6" w:space="0"/>
            </w:tcBorders>
            <w:vAlign w:val="center"/>
          </w:tcPr>
          <w:p w14:paraId="2C522F9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4143" w:type="dxa"/>
            <w:tcBorders>
              <w:top w:val="single" w:color="auto" w:sz="6" w:space="0"/>
              <w:left w:val="single" w:color="auto" w:sz="6" w:space="0"/>
              <w:bottom w:val="single" w:color="auto" w:sz="6" w:space="0"/>
              <w:right w:val="single" w:color="auto" w:sz="6" w:space="0"/>
            </w:tcBorders>
            <w:vAlign w:val="center"/>
          </w:tcPr>
          <w:p w14:paraId="58F61C4E">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lang w:val="en-US" w:eastAsia="zh-CN"/>
              </w:rPr>
              <w:t>许昌城投新能源科技有限公司3年联审合并口径审计服务</w:t>
            </w:r>
          </w:p>
        </w:tc>
        <w:tc>
          <w:tcPr>
            <w:tcW w:w="2615" w:type="dxa"/>
            <w:tcBorders>
              <w:top w:val="single" w:color="auto" w:sz="6" w:space="0"/>
              <w:left w:val="single" w:color="auto" w:sz="6" w:space="0"/>
              <w:bottom w:val="single" w:color="auto" w:sz="6" w:space="0"/>
              <w:right w:val="single" w:color="auto" w:sz="6" w:space="0"/>
            </w:tcBorders>
            <w:vAlign w:val="center"/>
          </w:tcPr>
          <w:p w14:paraId="4F797726">
            <w:pPr>
              <w:autoSpaceDE w:val="0"/>
              <w:autoSpaceDN w:val="0"/>
              <w:adjustRightInd w:val="0"/>
              <w:spacing w:line="54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zh-CN" w:eastAsia="zh-CN"/>
              </w:rPr>
              <w:t>大写：</w:t>
            </w:r>
            <w:r>
              <w:rPr>
                <w:rFonts w:hint="eastAsia" w:ascii="仿宋" w:hAnsi="仿宋" w:eastAsia="仿宋" w:cs="仿宋"/>
                <w:b/>
                <w:bCs/>
                <w:color w:val="auto"/>
                <w:sz w:val="30"/>
                <w:szCs w:val="30"/>
                <w:highlight w:val="none"/>
                <w:lang w:val="en-US" w:eastAsia="zh-CN"/>
              </w:rPr>
              <w:t xml:space="preserve">             </w:t>
            </w:r>
          </w:p>
          <w:p w14:paraId="7CB45E1C">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zh-CN" w:eastAsia="zh-CN"/>
              </w:rPr>
              <w:t>小写：</w:t>
            </w:r>
            <w:r>
              <w:rPr>
                <w:rFonts w:hint="eastAsia" w:ascii="仿宋" w:hAnsi="仿宋" w:eastAsia="仿宋" w:cs="仿宋"/>
                <w:b/>
                <w:bCs/>
                <w:color w:val="auto"/>
                <w:sz w:val="30"/>
                <w:szCs w:val="30"/>
                <w:highlight w:val="none"/>
                <w:lang w:val="en-US" w:eastAsia="zh-CN"/>
              </w:rPr>
              <w:t xml:space="preserve">     </w:t>
            </w:r>
          </w:p>
        </w:tc>
        <w:tc>
          <w:tcPr>
            <w:tcW w:w="1092" w:type="dxa"/>
            <w:tcBorders>
              <w:top w:val="single" w:color="auto" w:sz="6" w:space="0"/>
              <w:left w:val="single" w:color="auto" w:sz="6" w:space="0"/>
              <w:bottom w:val="single" w:color="auto" w:sz="6" w:space="0"/>
              <w:right w:val="single" w:color="auto" w:sz="6" w:space="0"/>
            </w:tcBorders>
            <w:vAlign w:val="center"/>
          </w:tcPr>
          <w:p w14:paraId="688239BC">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7B77FE55">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p>
    <w:p w14:paraId="4B0BD335">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p>
    <w:p w14:paraId="5B13E13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w:t>
      </w:r>
      <w:r>
        <w:rPr>
          <w:rFonts w:hint="eastAsia" w:eastAsia="仿宋" w:cs="Times New Roman"/>
          <w:color w:val="auto"/>
          <w:sz w:val="24"/>
          <w:szCs w:val="24"/>
          <w:highlight w:val="none"/>
          <w:lang w:val="zh-CN"/>
        </w:rPr>
        <w:t>、负责人</w:t>
      </w:r>
      <w:r>
        <w:rPr>
          <w:rFonts w:hint="default" w:ascii="Times New Roman" w:hAnsi="Times New Roman" w:eastAsia="仿宋" w:cs="Times New Roman"/>
          <w:color w:val="auto"/>
          <w:sz w:val="24"/>
          <w:szCs w:val="24"/>
          <w:highlight w:val="none"/>
          <w:lang w:val="zh-CN"/>
        </w:rPr>
        <w:t>或授权代表姓名：</w:t>
      </w:r>
    </w:p>
    <w:p w14:paraId="23C4482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2E1C9131">
      <w:pPr>
        <w:autoSpaceDE w:val="0"/>
        <w:autoSpaceDN w:val="0"/>
        <w:adjustRightInd w:val="0"/>
        <w:spacing w:line="480" w:lineRule="auto"/>
        <w:rPr>
          <w:rFonts w:hint="eastAsia" w:ascii="仿宋" w:hAnsi="仿宋" w:eastAsia="仿宋" w:cs="仿宋"/>
          <w:color w:val="auto"/>
          <w:sz w:val="24"/>
          <w:szCs w:val="24"/>
          <w:lang w:val="zh-CN"/>
        </w:rPr>
      </w:pPr>
    </w:p>
    <w:p w14:paraId="18E87C7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AB186D7">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报价单位为万元，</w:t>
      </w:r>
      <w:r>
        <w:rPr>
          <w:rFonts w:hint="eastAsia" w:ascii="仿宋" w:hAnsi="仿宋" w:eastAsia="仿宋" w:cs="仿宋"/>
          <w:color w:val="auto"/>
          <w:sz w:val="24"/>
          <w:szCs w:val="24"/>
          <w:highlight w:val="none"/>
        </w:rPr>
        <w:t>保留两位小数进行报价。</w:t>
      </w:r>
    </w:p>
    <w:p w14:paraId="2D1337F9">
      <w:pPr>
        <w:pStyle w:val="14"/>
        <w:spacing w:line="360" w:lineRule="auto"/>
        <w:jc w:val="center"/>
        <w:rPr>
          <w:rFonts w:hint="eastAsia" w:ascii="仿宋" w:hAnsi="仿宋" w:eastAsia="仿宋" w:cs="仿宋"/>
          <w:b/>
          <w:snapToGrid w:val="0"/>
          <w:color w:val="auto"/>
          <w:kern w:val="0"/>
          <w:sz w:val="36"/>
          <w:szCs w:val="36"/>
          <w:lang w:val="en-US" w:eastAsia="zh-CN"/>
        </w:rPr>
      </w:pPr>
    </w:p>
    <w:p w14:paraId="60689CF0">
      <w:pPr>
        <w:pStyle w:val="14"/>
        <w:spacing w:line="360" w:lineRule="auto"/>
        <w:jc w:val="center"/>
        <w:rPr>
          <w:rFonts w:hint="eastAsia" w:ascii="仿宋" w:hAnsi="仿宋" w:eastAsia="仿宋" w:cs="仿宋"/>
          <w:b/>
          <w:snapToGrid w:val="0"/>
          <w:color w:val="auto"/>
          <w:kern w:val="0"/>
          <w:sz w:val="36"/>
          <w:szCs w:val="36"/>
          <w:lang w:val="en-US" w:eastAsia="zh-CN"/>
        </w:rPr>
      </w:pPr>
    </w:p>
    <w:p w14:paraId="73900AF4">
      <w:pPr>
        <w:pStyle w:val="14"/>
        <w:spacing w:line="360" w:lineRule="auto"/>
        <w:jc w:val="center"/>
        <w:rPr>
          <w:rFonts w:hint="eastAsia" w:ascii="仿宋" w:hAnsi="仿宋" w:eastAsia="仿宋" w:cs="仿宋"/>
          <w:b/>
          <w:snapToGrid w:val="0"/>
          <w:color w:val="auto"/>
          <w:kern w:val="0"/>
          <w:sz w:val="36"/>
          <w:szCs w:val="36"/>
          <w:lang w:val="en-US" w:eastAsia="zh-CN"/>
        </w:rPr>
      </w:pPr>
    </w:p>
    <w:p w14:paraId="30AD05FD">
      <w:pPr>
        <w:pStyle w:val="14"/>
        <w:spacing w:line="360" w:lineRule="auto"/>
        <w:jc w:val="center"/>
        <w:rPr>
          <w:rFonts w:hint="eastAsia" w:ascii="仿宋" w:hAnsi="仿宋" w:eastAsia="仿宋" w:cs="仿宋"/>
          <w:b/>
          <w:snapToGrid w:val="0"/>
          <w:color w:val="auto"/>
          <w:kern w:val="0"/>
          <w:sz w:val="36"/>
          <w:szCs w:val="36"/>
          <w:lang w:val="en-US" w:eastAsia="zh-CN"/>
        </w:rPr>
      </w:pPr>
    </w:p>
    <w:p w14:paraId="0A1E7326">
      <w:pPr>
        <w:pStyle w:val="14"/>
        <w:spacing w:line="360" w:lineRule="auto"/>
        <w:jc w:val="center"/>
        <w:rPr>
          <w:rFonts w:hint="eastAsia" w:ascii="仿宋" w:hAnsi="仿宋" w:eastAsia="仿宋" w:cs="仿宋"/>
          <w:b/>
          <w:snapToGrid w:val="0"/>
          <w:color w:val="auto"/>
          <w:kern w:val="0"/>
          <w:sz w:val="36"/>
          <w:szCs w:val="36"/>
          <w:lang w:val="en-US" w:eastAsia="zh-CN"/>
        </w:rPr>
      </w:pPr>
    </w:p>
    <w:p w14:paraId="7F3E0FE4">
      <w:pPr>
        <w:pStyle w:val="14"/>
        <w:spacing w:line="360" w:lineRule="auto"/>
        <w:jc w:val="center"/>
        <w:rPr>
          <w:rFonts w:hint="eastAsia" w:ascii="仿宋" w:hAnsi="仿宋" w:eastAsia="仿宋" w:cs="仿宋"/>
          <w:b/>
          <w:snapToGrid w:val="0"/>
          <w:color w:val="auto"/>
          <w:kern w:val="0"/>
          <w:sz w:val="36"/>
          <w:szCs w:val="36"/>
          <w:lang w:val="en-US" w:eastAsia="zh-CN"/>
        </w:rPr>
      </w:pPr>
    </w:p>
    <w:p w14:paraId="68FD18F1">
      <w:pPr>
        <w:pStyle w:val="14"/>
        <w:spacing w:line="360" w:lineRule="auto"/>
        <w:jc w:val="center"/>
        <w:rPr>
          <w:rFonts w:hint="eastAsia" w:ascii="仿宋" w:hAnsi="仿宋" w:eastAsia="仿宋" w:cs="仿宋"/>
          <w:b/>
          <w:snapToGrid w:val="0"/>
          <w:color w:val="auto"/>
          <w:kern w:val="0"/>
          <w:sz w:val="36"/>
          <w:szCs w:val="36"/>
          <w:lang w:val="en-US" w:eastAsia="zh-CN"/>
        </w:rPr>
      </w:pPr>
    </w:p>
    <w:p w14:paraId="251F1807">
      <w:pPr>
        <w:pStyle w:val="14"/>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26CF8D4B">
      <w:pPr>
        <w:pStyle w:val="26"/>
        <w:rPr>
          <w:rFonts w:hint="eastAsia" w:ascii="仿宋" w:hAnsi="仿宋" w:eastAsia="仿宋" w:cs="仿宋"/>
          <w:color w:val="auto"/>
          <w:sz w:val="24"/>
          <w:szCs w:val="24"/>
          <w:lang w:val="zh-CN"/>
        </w:rPr>
      </w:pPr>
    </w:p>
    <w:p w14:paraId="070F8870">
      <w:pPr>
        <w:spacing w:line="480" w:lineRule="exact"/>
        <w:jc w:val="center"/>
        <w:rPr>
          <w:rFonts w:hint="eastAsia" w:ascii="仿宋" w:hAnsi="仿宋" w:eastAsia="仿宋" w:cs="仿宋"/>
          <w:b/>
          <w:bCs/>
          <w:color w:val="auto"/>
          <w:sz w:val="24"/>
          <w:szCs w:val="24"/>
        </w:rPr>
      </w:pPr>
    </w:p>
    <w:p w14:paraId="1017916B">
      <w:pPr>
        <w:pStyle w:val="14"/>
        <w:spacing w:line="360" w:lineRule="auto"/>
        <w:jc w:val="center"/>
        <w:rPr>
          <w:rFonts w:hint="eastAsia" w:ascii="仿宋" w:hAnsi="仿宋" w:eastAsia="仿宋" w:cs="仿宋"/>
          <w:b/>
          <w:snapToGrid w:val="0"/>
          <w:color w:val="auto"/>
          <w:kern w:val="0"/>
          <w:sz w:val="36"/>
          <w:szCs w:val="36"/>
          <w:lang w:eastAsia="zh-CN"/>
        </w:rPr>
      </w:pPr>
    </w:p>
    <w:p w14:paraId="7859CBD3">
      <w:pPr>
        <w:pStyle w:val="14"/>
        <w:spacing w:line="360" w:lineRule="auto"/>
        <w:jc w:val="center"/>
        <w:rPr>
          <w:rFonts w:hint="eastAsia" w:ascii="仿宋" w:hAnsi="仿宋" w:eastAsia="仿宋" w:cs="仿宋"/>
          <w:b/>
          <w:snapToGrid w:val="0"/>
          <w:color w:val="auto"/>
          <w:kern w:val="0"/>
          <w:sz w:val="36"/>
          <w:szCs w:val="36"/>
          <w:lang w:eastAsia="zh-CN"/>
        </w:rPr>
      </w:pPr>
    </w:p>
    <w:p w14:paraId="18193270">
      <w:pPr>
        <w:pStyle w:val="14"/>
        <w:spacing w:line="360" w:lineRule="auto"/>
        <w:jc w:val="center"/>
        <w:rPr>
          <w:rFonts w:hint="eastAsia" w:ascii="仿宋" w:hAnsi="仿宋" w:eastAsia="仿宋" w:cs="仿宋"/>
          <w:b/>
          <w:snapToGrid w:val="0"/>
          <w:color w:val="auto"/>
          <w:kern w:val="0"/>
          <w:sz w:val="36"/>
          <w:szCs w:val="36"/>
          <w:lang w:eastAsia="zh-CN"/>
        </w:rPr>
      </w:pPr>
    </w:p>
    <w:p w14:paraId="623284E8">
      <w:pPr>
        <w:pStyle w:val="14"/>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EF1DB03">
      <w:pPr>
        <w:jc w:val="left"/>
        <w:rPr>
          <w:rFonts w:hint="eastAsia" w:ascii="仿宋" w:hAnsi="仿宋" w:eastAsia="仿宋" w:cs="仿宋"/>
          <w:b/>
          <w:bCs/>
          <w:color w:val="auto"/>
          <w:sz w:val="24"/>
          <w:szCs w:val="24"/>
        </w:rPr>
      </w:pPr>
    </w:p>
    <w:p w14:paraId="6FC93FAD">
      <w:pPr>
        <w:jc w:val="center"/>
        <w:rPr>
          <w:rFonts w:hint="eastAsia" w:ascii="仿宋" w:hAnsi="仿宋" w:eastAsia="仿宋" w:cs="仿宋"/>
          <w:b/>
          <w:bCs/>
          <w:color w:val="auto"/>
          <w:sz w:val="24"/>
          <w:szCs w:val="24"/>
          <w:lang w:val="en-US" w:eastAsia="zh-CN"/>
        </w:rPr>
      </w:pPr>
    </w:p>
    <w:p w14:paraId="3B36A407">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附营业执照、执业证书等</w:t>
      </w:r>
    </w:p>
    <w:p w14:paraId="01709747">
      <w:pPr>
        <w:jc w:val="center"/>
        <w:rPr>
          <w:rFonts w:hint="eastAsia" w:ascii="仿宋" w:hAnsi="仿宋" w:eastAsia="仿宋" w:cs="仿宋"/>
          <w:b/>
          <w:bCs/>
          <w:color w:val="auto"/>
          <w:sz w:val="32"/>
          <w:szCs w:val="32"/>
          <w:lang w:val="en-US" w:eastAsia="zh-CN"/>
        </w:rPr>
      </w:pPr>
    </w:p>
    <w:p w14:paraId="79521506">
      <w:pPr>
        <w:jc w:val="center"/>
        <w:rPr>
          <w:rFonts w:hint="default" w:ascii="仿宋" w:hAnsi="仿宋" w:eastAsia="仿宋" w:cs="仿宋"/>
          <w:b/>
          <w:bCs/>
          <w:color w:val="auto"/>
          <w:sz w:val="32"/>
          <w:szCs w:val="32"/>
          <w:lang w:val="en-US" w:eastAsia="zh-CN"/>
        </w:rPr>
      </w:pPr>
    </w:p>
    <w:p w14:paraId="3BC36720">
      <w:pPr>
        <w:jc w:val="left"/>
        <w:rPr>
          <w:rFonts w:hint="eastAsia" w:ascii="仿宋" w:hAnsi="仿宋" w:eastAsia="仿宋" w:cs="仿宋"/>
          <w:b/>
          <w:bCs/>
          <w:color w:val="auto"/>
          <w:sz w:val="32"/>
          <w:szCs w:val="32"/>
        </w:rPr>
      </w:pPr>
    </w:p>
    <w:p w14:paraId="5E213863">
      <w:pPr>
        <w:jc w:val="both"/>
        <w:rPr>
          <w:rFonts w:hint="eastAsia" w:ascii="仿宋" w:hAnsi="仿宋" w:eastAsia="仿宋" w:cs="仿宋"/>
          <w:b/>
          <w:bCs/>
          <w:color w:val="auto"/>
          <w:sz w:val="32"/>
          <w:szCs w:val="32"/>
          <w:lang w:val="en-US" w:eastAsia="zh-CN"/>
        </w:rPr>
      </w:pPr>
    </w:p>
    <w:p w14:paraId="2A9F0B6A">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  债券从业资质证明、中国证券监督管理委员会及中华人民共和国财政部从事证券服务业务会计师务所备案证明</w:t>
      </w:r>
    </w:p>
    <w:p w14:paraId="343E5BC0">
      <w:pPr>
        <w:pStyle w:val="3"/>
        <w:numPr>
          <w:ilvl w:val="1"/>
          <w:numId w:val="0"/>
        </w:numPr>
        <w:rPr>
          <w:rFonts w:hint="eastAsia"/>
        </w:rPr>
      </w:pPr>
    </w:p>
    <w:p w14:paraId="2D253242">
      <w:pPr>
        <w:rPr>
          <w:rFonts w:hint="eastAsia"/>
        </w:rPr>
      </w:pPr>
    </w:p>
    <w:p w14:paraId="2490F308">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  投标人及项目负责人信用中国等经营、信用查询无异常证明</w:t>
      </w:r>
    </w:p>
    <w:p w14:paraId="7D8B8D90">
      <w:pPr>
        <w:rPr>
          <w:rFonts w:hint="eastAsia"/>
        </w:rPr>
      </w:pPr>
    </w:p>
    <w:p w14:paraId="653F85D4">
      <w:pPr>
        <w:jc w:val="both"/>
        <w:rPr>
          <w:rFonts w:hint="eastAsia" w:ascii="仿宋" w:hAnsi="仿宋" w:eastAsia="仿宋" w:cs="仿宋"/>
          <w:b/>
          <w:bCs/>
          <w:color w:val="auto"/>
          <w:sz w:val="32"/>
          <w:szCs w:val="32"/>
          <w:lang w:val="en-US" w:eastAsia="zh-CN"/>
        </w:rPr>
      </w:pPr>
    </w:p>
    <w:p w14:paraId="6B4BF06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4.4投标人信用承诺函</w:t>
      </w:r>
    </w:p>
    <w:p w14:paraId="5AEEFF51">
      <w:pPr>
        <w:autoSpaceDE w:val="0"/>
        <w:autoSpaceDN w:val="0"/>
        <w:adjustRightInd w:val="0"/>
        <w:spacing w:line="360" w:lineRule="auto"/>
        <w:jc w:val="center"/>
        <w:rPr>
          <w:rFonts w:hint="eastAsia" w:ascii="仿宋" w:hAnsi="仿宋" w:eastAsia="仿宋" w:cs="仿宋"/>
          <w:b/>
          <w:bCs/>
          <w:sz w:val="24"/>
          <w:szCs w:val="24"/>
        </w:rPr>
      </w:pPr>
    </w:p>
    <w:p w14:paraId="246BF775">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许昌城投新能源科技有限公司</w:t>
      </w:r>
      <w:r>
        <w:rPr>
          <w:rFonts w:hint="eastAsia" w:ascii="仿宋" w:hAnsi="仿宋" w:eastAsia="仿宋" w:cs="仿宋"/>
          <w:color w:val="000000"/>
          <w:kern w:val="0"/>
          <w:sz w:val="28"/>
          <w:szCs w:val="28"/>
          <w:lang w:val="en-US" w:eastAsia="zh-CN" w:bidi="ar"/>
        </w:rPr>
        <w:t xml:space="preserve">： </w:t>
      </w:r>
    </w:p>
    <w:p w14:paraId="1B6183FC">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42EBA99C">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23A0DE1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17871EB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718535E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0B1779D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二十二条规定和招标文件、本承诺书的条件： </w:t>
      </w:r>
    </w:p>
    <w:p w14:paraId="6BCC5DF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51D5F7F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3D84AEA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4934C9A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（四）可正常展业，符合法律、行政法规规定的其他条件。</w:t>
      </w:r>
    </w:p>
    <w:p w14:paraId="55D2A3D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（五）未被中国证券监督管理委员会和证券交易所会取消、暂停债券从业资格或出现被处罚等影响本次审计服务能力的情况。</w:t>
      </w:r>
    </w:p>
    <w:p w14:paraId="44F7335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w:t>
      </w:r>
      <w:r>
        <w:rPr>
          <w:rFonts w:hint="eastAsia" w:ascii="仿宋" w:hAnsi="仿宋" w:eastAsia="仿宋" w:cs="仿宋"/>
          <w:color w:val="000000"/>
          <w:kern w:val="0"/>
          <w:sz w:val="28"/>
          <w:szCs w:val="28"/>
          <w:highlight w:val="none"/>
          <w:lang w:val="en-US" w:eastAsia="zh-CN" w:bidi="ar"/>
        </w:rPr>
        <w:t xml:space="preserve">自愿按照规定将违背承诺行为作为失信行为记录到社会信用信息平台，列入不良行为记录名单，在两年内禁止参加城投集团及子公司的所有招标（比选）活动。 </w:t>
      </w:r>
    </w:p>
    <w:p w14:paraId="68A38252">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000000"/>
          <w:kern w:val="0"/>
          <w:sz w:val="28"/>
          <w:szCs w:val="28"/>
          <w:lang w:val="en-US" w:eastAsia="zh-CN" w:bidi="ar"/>
        </w:rPr>
      </w:pPr>
    </w:p>
    <w:p w14:paraId="01A3570E">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151DA9F7">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7BA4366B">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14:paraId="472F93C7">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14:paraId="741AF42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919E31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2FA3DC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469657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F3272F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ADEED1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9EBCDD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0D83575">
      <w:pPr>
        <w:rPr>
          <w:rFonts w:hint="eastAsia" w:ascii="仿宋" w:hAnsi="仿宋" w:eastAsia="仿宋" w:cs="仿宋"/>
          <w:lang w:val="zh-CN"/>
        </w:rPr>
      </w:pPr>
    </w:p>
    <w:p w14:paraId="4439BE3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46E255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EDAD13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44D92D4">
      <w:pPr>
        <w:jc w:val="center"/>
        <w:rPr>
          <w:rFonts w:hint="default" w:ascii="Times New Roman" w:hAnsi="Times New Roman" w:eastAsia="仿宋" w:cs="Times New Roman"/>
          <w:b/>
          <w:bCs/>
          <w:color w:val="auto"/>
          <w:sz w:val="32"/>
          <w:szCs w:val="32"/>
          <w:highlight w:val="none"/>
          <w:lang w:val="en-US" w:eastAsia="zh-CN"/>
        </w:rPr>
      </w:pPr>
    </w:p>
    <w:p w14:paraId="51A5ACD6">
      <w:pPr>
        <w:jc w:val="center"/>
        <w:rPr>
          <w:rFonts w:hint="default" w:ascii="Times New Roman" w:hAnsi="Times New Roman" w:eastAsia="仿宋" w:cs="Times New Roman"/>
          <w:b/>
          <w:bCs/>
          <w:color w:val="auto"/>
          <w:sz w:val="32"/>
          <w:szCs w:val="32"/>
          <w:highlight w:val="none"/>
          <w:lang w:val="en-US" w:eastAsia="zh-CN"/>
        </w:rPr>
      </w:pP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w:t>
      </w:r>
      <w:r>
        <w:rPr>
          <w:rFonts w:hint="eastAsia" w:eastAsia="仿宋" w:cs="Times New Roman"/>
          <w:b/>
          <w:bCs/>
          <w:color w:val="auto"/>
          <w:sz w:val="32"/>
          <w:szCs w:val="32"/>
          <w:highlight w:val="none"/>
          <w:lang w:val="en-US" w:eastAsia="zh-CN"/>
        </w:rPr>
        <w:t>5</w:t>
      </w:r>
      <w:r>
        <w:rPr>
          <w:rFonts w:hint="default" w:ascii="Times New Roman" w:hAnsi="Times New Roman" w:eastAsia="仿宋" w:cs="Times New Roman"/>
          <w:b/>
          <w:bCs/>
          <w:color w:val="auto"/>
          <w:sz w:val="32"/>
          <w:szCs w:val="32"/>
          <w:highlight w:val="none"/>
          <w:lang w:val="en-US" w:eastAsia="zh-CN"/>
        </w:rPr>
        <w:t xml:space="preserve">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eastAsia" w:ascii="Times New Roman" w:hAnsi="Times New Roman" w:eastAsia="仿宋_GB2312" w:cs="Times New Roman"/>
          <w:color w:val="auto"/>
          <w:sz w:val="32"/>
          <w:szCs w:val="32"/>
          <w:lang w:val="en-US" w:eastAsia="zh-CN"/>
        </w:rPr>
        <w:t>许昌城投新能源科技有限公司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7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0411023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381063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DF0CB96">
      <w:pPr>
        <w:jc w:val="center"/>
        <w:rPr>
          <w:rFonts w:hint="eastAsia" w:ascii="Times New Roman" w:hAnsi="Times New Roman" w:eastAsia="仿宋" w:cs="Times New Roman"/>
          <w:b/>
          <w:bCs/>
          <w:color w:val="auto"/>
          <w:sz w:val="32"/>
          <w:szCs w:val="32"/>
          <w:highlight w:val="none"/>
          <w:lang w:val="en-US" w:eastAsia="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4.</w:t>
      </w:r>
      <w:r>
        <w:rPr>
          <w:rFonts w:hint="eastAsia" w:eastAsia="仿宋" w:cs="Times New Roman"/>
          <w:b/>
          <w:bCs/>
          <w:color w:val="auto"/>
          <w:sz w:val="32"/>
          <w:szCs w:val="32"/>
          <w:highlight w:val="none"/>
          <w:lang w:val="en-US" w:eastAsia="zh-CN"/>
        </w:rPr>
        <w:t>6</w:t>
      </w:r>
      <w:r>
        <w:rPr>
          <w:rFonts w:hint="eastAsia" w:ascii="Times New Roman" w:hAnsi="Times New Roman" w:eastAsia="仿宋" w:cs="Times New Roman"/>
          <w:b/>
          <w:bCs/>
          <w:color w:val="auto"/>
          <w:sz w:val="32"/>
          <w:szCs w:val="32"/>
          <w:highlight w:val="none"/>
          <w:lang w:val="en-US" w:eastAsia="zh-CN"/>
        </w:rPr>
        <w:t xml:space="preserve"> 服务承诺</w:t>
      </w:r>
      <w:r>
        <w:rPr>
          <w:rFonts w:hint="eastAsia" w:eastAsia="仿宋" w:cs="Times New Roman"/>
          <w:b/>
          <w:bCs/>
          <w:color w:val="auto"/>
          <w:sz w:val="32"/>
          <w:szCs w:val="32"/>
          <w:highlight w:val="none"/>
          <w:lang w:val="en-US" w:eastAsia="zh-CN"/>
        </w:rPr>
        <w:t>书</w:t>
      </w:r>
    </w:p>
    <w:p w14:paraId="1F870073">
      <w:pPr>
        <w:rPr>
          <w:rFonts w:hint="eastAsia"/>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eastAsia" w:ascii="Times New Roman" w:hAnsi="Times New Roman" w:eastAsia="仿宋_GB2312" w:cs="Times New Roman"/>
          <w:color w:val="auto"/>
          <w:sz w:val="32"/>
          <w:szCs w:val="32"/>
          <w:lang w:val="en-US" w:eastAsia="zh-CN"/>
        </w:rPr>
        <w:t>许昌城投新能源科技有限公司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lang w:eastAsia="zh-CN"/>
        </w:rPr>
      </w:pPr>
      <w:r>
        <w:rPr>
          <w:rFonts w:hint="eastAsia" w:eastAsia="仿宋_GB2312" w:cs="Times New Roman"/>
          <w:color w:val="auto"/>
          <w:sz w:val="32"/>
          <w:szCs w:val="32"/>
          <w:lang w:eastAsia="zh-CN"/>
        </w:rPr>
        <w:t>我单位递交比选申请文件即视为完全理解并同意本次比选服务内容：</w:t>
      </w:r>
    </w:p>
    <w:p w14:paraId="55E79E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对</w:t>
      </w:r>
      <w:r>
        <w:rPr>
          <w:rFonts w:hint="eastAsia" w:ascii="仿宋_GB2312" w:hAnsi="仿宋_GB2312" w:eastAsia="仿宋_GB2312" w:cs="仿宋_GB2312"/>
          <w:sz w:val="32"/>
          <w:szCs w:val="32"/>
          <w:highlight w:val="none"/>
          <w:lang w:val="en-US" w:eastAsia="zh-CN"/>
        </w:rPr>
        <w:t>比选人</w:t>
      </w:r>
      <w:r>
        <w:rPr>
          <w:rFonts w:hint="eastAsia" w:ascii="仿宋_GB2312" w:hAnsi="仿宋_GB2312" w:eastAsia="仿宋_GB2312" w:cs="仿宋_GB2312"/>
          <w:b w:val="0"/>
          <w:bCs/>
          <w:sz w:val="32"/>
          <w:szCs w:val="32"/>
          <w:lang w:val="en-US" w:eastAsia="zh-CN"/>
        </w:rPr>
        <w:t>2022年、2023年、2024</w:t>
      </w:r>
      <w:r>
        <w:rPr>
          <w:rFonts w:hint="eastAsia" w:ascii="仿宋_GB2312" w:hAnsi="仿宋_GB2312" w:eastAsia="仿宋_GB2312" w:cs="仿宋_GB2312"/>
          <w:sz w:val="32"/>
          <w:szCs w:val="32"/>
          <w:highlight w:val="none"/>
          <w:lang w:val="en-US" w:eastAsia="zh-CN"/>
        </w:rPr>
        <w:t>年度财务情况发表</w:t>
      </w:r>
      <w:r>
        <w:rPr>
          <w:rFonts w:hint="eastAsia" w:ascii="仿宋_GB2312" w:hAnsi="仿宋_GB2312" w:eastAsia="仿宋_GB2312" w:cs="仿宋_GB2312"/>
          <w:sz w:val="32"/>
          <w:szCs w:val="32"/>
          <w:highlight w:val="none"/>
          <w:lang w:val="zh-CN" w:eastAsia="zh-CN"/>
        </w:rPr>
        <w:t>审</w:t>
      </w:r>
      <w:r>
        <w:rPr>
          <w:rFonts w:hint="eastAsia" w:ascii="仿宋_GB2312" w:hAnsi="仿宋_GB2312" w:eastAsia="仿宋_GB2312" w:cs="仿宋_GB2312"/>
          <w:sz w:val="32"/>
          <w:szCs w:val="32"/>
          <w:highlight w:val="none"/>
          <w:lang w:val="en-US" w:eastAsia="zh-CN"/>
        </w:rPr>
        <w:t>计意见</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并出具正式版合并口径审计报告，同时为比选人出具最近1期财务报表；</w:t>
      </w:r>
    </w:p>
    <w:p w14:paraId="735905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2、为比选人出具的合并口径审计报告及最近1期财务报表需获得证券交易所、证券机构和金融机构认可，可作为注册发行债券产品和金融机构融资的要件使用；</w:t>
      </w:r>
    </w:p>
    <w:p w14:paraId="42C36F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3、协助比选人完成资本市场债券产品注册发行工作，提供有关财务指标的解释说明；</w:t>
      </w:r>
    </w:p>
    <w:p w14:paraId="7CCAE9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比选人债券产品</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eastAsia="zh-CN"/>
        </w:rPr>
        <w:t>注册、</w:t>
      </w:r>
      <w:r>
        <w:rPr>
          <w:rFonts w:hint="eastAsia" w:ascii="仿宋_GB2312" w:hAnsi="仿宋_GB2312" w:eastAsia="仿宋_GB2312" w:cs="仿宋_GB2312"/>
          <w:sz w:val="32"/>
          <w:szCs w:val="32"/>
          <w:highlight w:val="none"/>
        </w:rPr>
        <w:t>发行过程中根据需要提供</w:t>
      </w:r>
      <w:r>
        <w:rPr>
          <w:rFonts w:hint="eastAsia" w:ascii="仿宋_GB2312" w:hAnsi="仿宋_GB2312" w:eastAsia="仿宋_GB2312" w:cs="仿宋_GB2312"/>
          <w:sz w:val="32"/>
          <w:szCs w:val="32"/>
          <w:highlight w:val="none"/>
          <w:lang w:eastAsia="zh-CN"/>
        </w:rPr>
        <w:t>会计事项咨询</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w:t>
      </w:r>
    </w:p>
    <w:p w14:paraId="007200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5、为比选人提供年度财务咨询服务。</w:t>
      </w:r>
    </w:p>
    <w:p w14:paraId="68A668A0">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022663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5BD7DA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A3DF7B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7149E66">
      <w:pPr>
        <w:pStyle w:val="14"/>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19F2B6A0">
      <w:pPr>
        <w:pStyle w:val="14"/>
        <w:spacing w:line="360" w:lineRule="auto"/>
        <w:jc w:val="center"/>
        <w:rPr>
          <w:rFonts w:hint="eastAsia" w:ascii="仿宋" w:hAnsi="仿宋" w:eastAsia="仿宋" w:cs="仿宋"/>
          <w:b/>
          <w:bCs/>
          <w:color w:val="auto"/>
          <w:sz w:val="28"/>
          <w:szCs w:val="28"/>
          <w:highlight w:val="none"/>
          <w:lang w:val="en-US" w:eastAsia="zh-CN"/>
        </w:rPr>
      </w:pPr>
    </w:p>
    <w:p w14:paraId="14996853">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7987B66A">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（投标人自行编制，需附项目团队人员会计从业职资格证明、近</w:t>
      </w:r>
      <w:r>
        <w:rPr>
          <w:rFonts w:hint="eastAsia" w:ascii="仿宋" w:hAnsi="仿宋" w:eastAsia="仿宋" w:cs="仿宋"/>
          <w:b/>
          <w:bCs/>
          <w:color w:val="auto"/>
          <w:sz w:val="28"/>
          <w:szCs w:val="28"/>
          <w:highlight w:val="none"/>
          <w:lang w:val="en-US" w:eastAsia="zh-CN"/>
        </w:rPr>
        <w:t>1年内连续3个月</w:t>
      </w:r>
      <w:r>
        <w:rPr>
          <w:rFonts w:hint="eastAsia" w:ascii="仿宋" w:hAnsi="仿宋" w:eastAsia="仿宋" w:cs="仿宋"/>
          <w:b/>
          <w:bCs/>
          <w:color w:val="auto"/>
          <w:sz w:val="28"/>
          <w:szCs w:val="28"/>
          <w:highlight w:val="none"/>
          <w:lang w:val="zh-CN"/>
        </w:rPr>
        <w:t>社保缴费证明等文件）</w:t>
      </w:r>
    </w:p>
    <w:p w14:paraId="52FE2603">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8E1884">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165C722">
      <w:pPr>
        <w:pStyle w:val="14"/>
        <w:spacing w:line="360" w:lineRule="auto"/>
        <w:jc w:val="center"/>
        <w:rPr>
          <w:rFonts w:hint="eastAsia" w:ascii="仿宋" w:hAnsi="仿宋" w:eastAsia="仿宋" w:cs="仿宋"/>
          <w:b/>
          <w:bCs/>
          <w:color w:val="auto"/>
          <w:sz w:val="28"/>
          <w:szCs w:val="28"/>
          <w:highlight w:val="none"/>
        </w:rPr>
      </w:pPr>
    </w:p>
    <w:p w14:paraId="23EC4C44">
      <w:pPr>
        <w:pStyle w:val="14"/>
        <w:spacing w:line="360" w:lineRule="auto"/>
        <w:jc w:val="center"/>
        <w:rPr>
          <w:rFonts w:hint="eastAsia" w:ascii="仿宋" w:hAnsi="仿宋" w:eastAsia="仿宋" w:cs="仿宋"/>
          <w:b/>
          <w:bCs/>
          <w:color w:val="auto"/>
          <w:sz w:val="28"/>
          <w:szCs w:val="28"/>
          <w:highlight w:val="none"/>
        </w:rPr>
      </w:pPr>
    </w:p>
    <w:p w14:paraId="5C7A22DF">
      <w:pPr>
        <w:pStyle w:val="14"/>
        <w:spacing w:line="360" w:lineRule="auto"/>
        <w:jc w:val="center"/>
        <w:rPr>
          <w:rFonts w:hint="eastAsia" w:ascii="仿宋" w:hAnsi="仿宋" w:eastAsia="仿宋" w:cs="仿宋"/>
          <w:b/>
          <w:bCs/>
          <w:color w:val="auto"/>
          <w:sz w:val="28"/>
          <w:szCs w:val="28"/>
          <w:highlight w:val="none"/>
        </w:rPr>
      </w:pPr>
    </w:p>
    <w:p w14:paraId="523CC0BE">
      <w:pPr>
        <w:rPr>
          <w:rFonts w:hint="eastAsia" w:ascii="仿宋" w:hAnsi="仿宋" w:eastAsia="仿宋" w:cs="仿宋"/>
          <w:color w:val="auto"/>
          <w:sz w:val="20"/>
          <w:szCs w:val="18"/>
          <w:highlight w:val="none"/>
        </w:rPr>
      </w:pPr>
    </w:p>
    <w:p w14:paraId="1872A1D1">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14:paraId="47FBC523">
      <w:pPr>
        <w:pStyle w:val="14"/>
        <w:spacing w:line="360" w:lineRule="auto"/>
        <w:jc w:val="center"/>
        <w:rPr>
          <w:rFonts w:hint="eastAsia" w:ascii="仿宋" w:hAnsi="仿宋" w:eastAsia="仿宋" w:cs="仿宋"/>
          <w:b/>
          <w:bCs/>
          <w:color w:val="auto"/>
          <w:sz w:val="28"/>
          <w:szCs w:val="28"/>
          <w:highlight w:val="none"/>
        </w:rPr>
      </w:pPr>
    </w:p>
    <w:p w14:paraId="661A3180">
      <w:pPr>
        <w:pStyle w:val="14"/>
        <w:spacing w:line="360" w:lineRule="auto"/>
        <w:jc w:val="both"/>
        <w:rPr>
          <w:rFonts w:hint="eastAsia" w:ascii="仿宋" w:hAnsi="仿宋" w:eastAsia="仿宋" w:cs="仿宋"/>
          <w:b/>
          <w:bCs/>
          <w:color w:val="auto"/>
          <w:sz w:val="28"/>
          <w:szCs w:val="28"/>
          <w:highlight w:val="none"/>
        </w:rPr>
      </w:pPr>
    </w:p>
    <w:p w14:paraId="76A089CE">
      <w:pPr>
        <w:pStyle w:val="14"/>
        <w:spacing w:line="360" w:lineRule="auto"/>
        <w:jc w:val="both"/>
        <w:rPr>
          <w:rFonts w:hint="eastAsia" w:ascii="仿宋" w:hAnsi="仿宋" w:eastAsia="仿宋" w:cs="仿宋"/>
          <w:b/>
          <w:bCs/>
          <w:color w:val="auto"/>
          <w:sz w:val="28"/>
          <w:szCs w:val="28"/>
          <w:highlight w:val="none"/>
        </w:rPr>
      </w:pPr>
    </w:p>
    <w:p w14:paraId="1E0CEA41">
      <w:pPr>
        <w:pStyle w:val="14"/>
        <w:spacing w:line="360" w:lineRule="auto"/>
        <w:jc w:val="both"/>
        <w:rPr>
          <w:rFonts w:hint="eastAsia" w:ascii="仿宋" w:hAnsi="仿宋" w:eastAsia="仿宋" w:cs="仿宋"/>
          <w:b/>
          <w:bCs/>
          <w:color w:val="auto"/>
          <w:sz w:val="28"/>
          <w:szCs w:val="28"/>
          <w:highlight w:val="none"/>
        </w:rPr>
      </w:pPr>
    </w:p>
    <w:p w14:paraId="41460494">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5.3审计服务业绩</w:t>
      </w:r>
    </w:p>
    <w:p w14:paraId="1A86291E">
      <w:pPr>
        <w:pStyle w:val="14"/>
        <w:spacing w:line="360" w:lineRule="auto"/>
        <w:jc w:val="center"/>
        <w:rPr>
          <w:rFonts w:hint="eastAsia" w:ascii="仿宋" w:hAnsi="仿宋" w:eastAsia="仿宋" w:cs="仿宋"/>
          <w:b/>
          <w:bCs/>
          <w:color w:val="auto"/>
          <w:sz w:val="28"/>
          <w:szCs w:val="28"/>
          <w:highlight w:val="none"/>
          <w:lang w:val="en-US" w:eastAsia="zh-CN"/>
        </w:rPr>
      </w:pPr>
    </w:p>
    <w:p w14:paraId="763AC5E9">
      <w:pPr>
        <w:pStyle w:val="14"/>
        <w:spacing w:line="360" w:lineRule="auto"/>
        <w:jc w:val="center"/>
        <w:rPr>
          <w:rFonts w:hint="eastAsia" w:ascii="仿宋" w:hAnsi="仿宋" w:eastAsia="仿宋" w:cs="仿宋"/>
          <w:b/>
          <w:bCs/>
          <w:color w:val="auto"/>
          <w:sz w:val="28"/>
          <w:szCs w:val="28"/>
          <w:highlight w:val="none"/>
          <w:lang w:val="en-US" w:eastAsia="zh-CN"/>
        </w:rPr>
      </w:pPr>
    </w:p>
    <w:p w14:paraId="084B339B">
      <w:pPr>
        <w:pStyle w:val="14"/>
        <w:spacing w:line="360" w:lineRule="auto"/>
        <w:jc w:val="both"/>
        <w:rPr>
          <w:rFonts w:hint="eastAsia" w:ascii="仿宋" w:hAnsi="仿宋" w:eastAsia="仿宋" w:cs="仿宋"/>
          <w:b/>
          <w:bCs/>
          <w:color w:val="auto"/>
          <w:sz w:val="28"/>
          <w:szCs w:val="28"/>
          <w:highlight w:val="none"/>
          <w:lang w:val="en-US" w:eastAsia="zh-CN"/>
        </w:rPr>
      </w:pPr>
    </w:p>
    <w:p w14:paraId="07F5A02A">
      <w:pPr>
        <w:pStyle w:val="14"/>
        <w:spacing w:line="360" w:lineRule="auto"/>
        <w:jc w:val="both"/>
        <w:rPr>
          <w:rFonts w:hint="eastAsia" w:ascii="仿宋" w:hAnsi="仿宋" w:eastAsia="仿宋" w:cs="仿宋"/>
          <w:b/>
          <w:bCs/>
          <w:color w:val="auto"/>
          <w:sz w:val="28"/>
          <w:szCs w:val="28"/>
          <w:highlight w:val="none"/>
          <w:lang w:val="en-US" w:eastAsia="zh-CN"/>
        </w:rPr>
      </w:pPr>
    </w:p>
    <w:p w14:paraId="56D9021D">
      <w:pPr>
        <w:pStyle w:val="14"/>
        <w:spacing w:line="360" w:lineRule="auto"/>
        <w:jc w:val="both"/>
        <w:rPr>
          <w:rFonts w:hint="eastAsia" w:ascii="仿宋" w:hAnsi="仿宋" w:eastAsia="仿宋" w:cs="仿宋"/>
          <w:b/>
          <w:bCs/>
          <w:color w:val="auto"/>
          <w:sz w:val="28"/>
          <w:szCs w:val="28"/>
          <w:highlight w:val="none"/>
          <w:lang w:val="en-US" w:eastAsia="zh-CN"/>
        </w:rPr>
      </w:pPr>
    </w:p>
    <w:p w14:paraId="2E639580">
      <w:pPr>
        <w:pStyle w:val="14"/>
        <w:spacing w:line="360" w:lineRule="auto"/>
        <w:ind w:firstLine="562"/>
        <w:jc w:val="both"/>
        <w:rPr>
          <w:rFonts w:hint="default" w:ascii="仿宋" w:hAnsi="仿宋" w:eastAsia="仿宋" w:cs="仿宋"/>
          <w:b/>
          <w:bCs/>
          <w:color w:val="auto"/>
          <w:sz w:val="28"/>
          <w:szCs w:val="28"/>
          <w:highlight w:val="none"/>
          <w:lang w:val="en-US" w:eastAsia="zh-CN"/>
        </w:rPr>
      </w:pPr>
    </w:p>
    <w:p w14:paraId="12890A8D">
      <w:pPr>
        <w:pStyle w:val="14"/>
        <w:spacing w:line="360" w:lineRule="auto"/>
        <w:jc w:val="both"/>
        <w:rPr>
          <w:rFonts w:hint="eastAsia" w:ascii="仿宋" w:hAnsi="仿宋" w:eastAsia="仿宋" w:cs="仿宋"/>
          <w:b/>
          <w:bCs/>
          <w:color w:val="auto"/>
          <w:sz w:val="28"/>
          <w:szCs w:val="28"/>
          <w:highlight w:val="none"/>
          <w:lang w:val="en-US" w:eastAsia="zh-CN"/>
        </w:rPr>
      </w:pPr>
    </w:p>
    <w:p w14:paraId="6889A32A">
      <w:pPr>
        <w:pStyle w:val="14"/>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2319758D">
      <w:pPr>
        <w:pStyle w:val="14"/>
        <w:spacing w:line="360" w:lineRule="auto"/>
        <w:jc w:val="center"/>
        <w:rPr>
          <w:rFonts w:hint="eastAsia" w:ascii="仿宋" w:hAnsi="仿宋" w:eastAsia="仿宋" w:cs="仿宋"/>
          <w:b/>
          <w:bCs/>
          <w:color w:val="auto"/>
          <w:sz w:val="28"/>
          <w:szCs w:val="28"/>
          <w:highlight w:val="none"/>
        </w:rPr>
      </w:pPr>
    </w:p>
    <w:p w14:paraId="35F91C01">
      <w:pPr>
        <w:pStyle w:val="14"/>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1450EE6F">
      <w:pPr>
        <w:pStyle w:val="3"/>
        <w:numPr>
          <w:ilvl w:val="1"/>
          <w:numId w:val="0"/>
        </w:numPr>
        <w:rPr>
          <w:rFonts w:hint="eastAsia"/>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w:t>
      </w:r>
      <w:r>
        <w:rPr>
          <w:rFonts w:hint="eastAsia" w:eastAsia="仿宋" w:cs="Times New Roman"/>
          <w:b/>
          <w:strike w:val="0"/>
          <w:dstrike w:val="0"/>
          <w:color w:val="auto"/>
          <w:sz w:val="36"/>
          <w:szCs w:val="36"/>
          <w:shd w:val="clear" w:color="060000" w:fill="auto"/>
          <w:lang w:eastAsia="zh-CN"/>
        </w:rPr>
        <w:t>胶装后</w:t>
      </w:r>
      <w:r>
        <w:rPr>
          <w:rFonts w:hint="default" w:ascii="Times New Roman" w:hAnsi="Times New Roman" w:eastAsia="仿宋" w:cs="Times New Roman"/>
          <w:b/>
          <w:strike w:val="0"/>
          <w:dstrike w:val="0"/>
          <w:color w:val="auto"/>
          <w:sz w:val="36"/>
          <w:szCs w:val="36"/>
          <w:shd w:val="clear" w:color="060000" w:fill="auto"/>
          <w:lang w:eastAsia="zh-CN"/>
        </w:rPr>
        <w:t>应使用牢固的纸质信封或专用密封袋进行密封，在封面及密封处加盖投标单位公章或法定代表人签字</w:t>
      </w:r>
      <w:r>
        <w:rPr>
          <w:rFonts w:hint="eastAsia" w:eastAsia="仿宋" w:cs="Times New Roman"/>
          <w:b/>
          <w:strike w:val="0"/>
          <w:dstrike w:val="0"/>
          <w:color w:val="auto"/>
          <w:sz w:val="36"/>
          <w:szCs w:val="36"/>
          <w:shd w:val="clear" w:color="060000" w:fill="auto"/>
          <w:lang w:eastAsia="zh-CN"/>
        </w:rPr>
        <w:t>（盖章）</w:t>
      </w:r>
      <w:r>
        <w:rPr>
          <w:rFonts w:hint="default" w:ascii="Times New Roman" w:hAnsi="Times New Roman" w:eastAsia="仿宋" w:cs="Times New Roman"/>
          <w:b/>
          <w:strike w:val="0"/>
          <w:dstrike w:val="0"/>
          <w:color w:val="auto"/>
          <w:sz w:val="36"/>
          <w:szCs w:val="36"/>
          <w:shd w:val="clear" w:color="060000" w:fill="auto"/>
          <w:lang w:eastAsia="zh-CN"/>
        </w:rPr>
        <w:t>，并加盖骑缝章。申请人应严格按照上述密封要求准备和提交投标文件，以确保投标文件的完整性、真实性和保密性。任何不符合密封要求的投标文件，采购人有权拒绝接收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3B5F2B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38C5B063-F595-4D68-AD5A-DD64C45CB03C}"/>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86470B2F-8FC3-463E-BCDA-7C0BC6FC5503}"/>
  </w:font>
  <w:font w:name="方正小标宋简体">
    <w:panose1 w:val="02000000000000000000"/>
    <w:charset w:val="86"/>
    <w:family w:val="script"/>
    <w:pitch w:val="default"/>
    <w:sig w:usb0="00000001" w:usb1="08000000" w:usb2="00000000" w:usb3="00000000" w:csb0="00040000" w:csb1="00000000"/>
    <w:embedRegular r:id="rId3" w:fontKey="{27AFAA4A-9878-40E9-AB0C-5B6FED267D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4FA7">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3FF9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53FF9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4963">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E1CEE">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2AFE1CEE">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7ADC2EE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D23B">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AAE53E">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26AAE53E">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FhM2EwODY4NDRkYjYzMmZlZjk4NzdkN2MzNDQ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03366"/>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E7B94"/>
    <w:rsid w:val="00FF3955"/>
    <w:rsid w:val="010C0502"/>
    <w:rsid w:val="0131372E"/>
    <w:rsid w:val="015A0EEF"/>
    <w:rsid w:val="01944054"/>
    <w:rsid w:val="019B2BEF"/>
    <w:rsid w:val="01A548CD"/>
    <w:rsid w:val="01A754AC"/>
    <w:rsid w:val="01F42D45"/>
    <w:rsid w:val="02326E3B"/>
    <w:rsid w:val="02553FCA"/>
    <w:rsid w:val="02647ECA"/>
    <w:rsid w:val="026A40B0"/>
    <w:rsid w:val="02E62FD5"/>
    <w:rsid w:val="02FB57F1"/>
    <w:rsid w:val="0308368E"/>
    <w:rsid w:val="03AA0450"/>
    <w:rsid w:val="03FC5F2A"/>
    <w:rsid w:val="03FD2384"/>
    <w:rsid w:val="03FE312B"/>
    <w:rsid w:val="040E3C03"/>
    <w:rsid w:val="048E7480"/>
    <w:rsid w:val="04992949"/>
    <w:rsid w:val="04AE0156"/>
    <w:rsid w:val="04E07386"/>
    <w:rsid w:val="053334A3"/>
    <w:rsid w:val="056326BB"/>
    <w:rsid w:val="05683C70"/>
    <w:rsid w:val="058F525E"/>
    <w:rsid w:val="059861B2"/>
    <w:rsid w:val="05FB5A9A"/>
    <w:rsid w:val="05FC1EA1"/>
    <w:rsid w:val="06124783"/>
    <w:rsid w:val="06551615"/>
    <w:rsid w:val="069A569A"/>
    <w:rsid w:val="06C947A0"/>
    <w:rsid w:val="06E14AFA"/>
    <w:rsid w:val="06FD6453"/>
    <w:rsid w:val="06FF2B3A"/>
    <w:rsid w:val="073267E9"/>
    <w:rsid w:val="076745CB"/>
    <w:rsid w:val="07726C54"/>
    <w:rsid w:val="07862691"/>
    <w:rsid w:val="079166EF"/>
    <w:rsid w:val="07C1191B"/>
    <w:rsid w:val="07EE6482"/>
    <w:rsid w:val="07F36299"/>
    <w:rsid w:val="080000C0"/>
    <w:rsid w:val="0840235A"/>
    <w:rsid w:val="086E1AA3"/>
    <w:rsid w:val="08B20716"/>
    <w:rsid w:val="08CB210B"/>
    <w:rsid w:val="08D47156"/>
    <w:rsid w:val="08DA591A"/>
    <w:rsid w:val="09092C22"/>
    <w:rsid w:val="090F3BD9"/>
    <w:rsid w:val="09387C3D"/>
    <w:rsid w:val="094B62C2"/>
    <w:rsid w:val="09A82D92"/>
    <w:rsid w:val="09FD7499"/>
    <w:rsid w:val="0A0107ED"/>
    <w:rsid w:val="0A0F77E2"/>
    <w:rsid w:val="0A1741F1"/>
    <w:rsid w:val="0A216EF0"/>
    <w:rsid w:val="0A3B0FEF"/>
    <w:rsid w:val="0A4C1970"/>
    <w:rsid w:val="0A873F23"/>
    <w:rsid w:val="0AB17A25"/>
    <w:rsid w:val="0B1F3CE3"/>
    <w:rsid w:val="0B367E19"/>
    <w:rsid w:val="0BB86BE8"/>
    <w:rsid w:val="0BC62C8C"/>
    <w:rsid w:val="0BCF6E3B"/>
    <w:rsid w:val="0BF4439B"/>
    <w:rsid w:val="0BFF607D"/>
    <w:rsid w:val="0C2D568A"/>
    <w:rsid w:val="0C394176"/>
    <w:rsid w:val="0C6B181D"/>
    <w:rsid w:val="0C85421C"/>
    <w:rsid w:val="0CE27C09"/>
    <w:rsid w:val="0CE82126"/>
    <w:rsid w:val="0CEA36C2"/>
    <w:rsid w:val="0CEF0CD8"/>
    <w:rsid w:val="0D0069B2"/>
    <w:rsid w:val="0D3861DB"/>
    <w:rsid w:val="0D572EFA"/>
    <w:rsid w:val="0D5D0460"/>
    <w:rsid w:val="0D6D6787"/>
    <w:rsid w:val="0D7D0092"/>
    <w:rsid w:val="0D8E229F"/>
    <w:rsid w:val="0DB205B8"/>
    <w:rsid w:val="0DF90060"/>
    <w:rsid w:val="0E0908A4"/>
    <w:rsid w:val="0E1651AA"/>
    <w:rsid w:val="0E59677C"/>
    <w:rsid w:val="0E5C05EF"/>
    <w:rsid w:val="0F29227F"/>
    <w:rsid w:val="0F3C1993"/>
    <w:rsid w:val="0F3F5ECC"/>
    <w:rsid w:val="0F5B5841"/>
    <w:rsid w:val="0F8C6010"/>
    <w:rsid w:val="0F920F42"/>
    <w:rsid w:val="0FF1616E"/>
    <w:rsid w:val="106A54DC"/>
    <w:rsid w:val="10A96A1D"/>
    <w:rsid w:val="10B93643"/>
    <w:rsid w:val="10BC2049"/>
    <w:rsid w:val="10C77C97"/>
    <w:rsid w:val="10DB5A15"/>
    <w:rsid w:val="11074A45"/>
    <w:rsid w:val="113E7AD2"/>
    <w:rsid w:val="11431174"/>
    <w:rsid w:val="115715E8"/>
    <w:rsid w:val="116D470F"/>
    <w:rsid w:val="11702FA8"/>
    <w:rsid w:val="117C5F04"/>
    <w:rsid w:val="11845B85"/>
    <w:rsid w:val="118E0DF0"/>
    <w:rsid w:val="11B251A7"/>
    <w:rsid w:val="11BE70AD"/>
    <w:rsid w:val="11C56917"/>
    <w:rsid w:val="11EC4489"/>
    <w:rsid w:val="11FA4BEA"/>
    <w:rsid w:val="12127FED"/>
    <w:rsid w:val="121466FB"/>
    <w:rsid w:val="12664424"/>
    <w:rsid w:val="12691FF2"/>
    <w:rsid w:val="12724E69"/>
    <w:rsid w:val="12B652F8"/>
    <w:rsid w:val="12B75B24"/>
    <w:rsid w:val="12F26B7A"/>
    <w:rsid w:val="12FC6FC7"/>
    <w:rsid w:val="132964DD"/>
    <w:rsid w:val="13405DEA"/>
    <w:rsid w:val="134273A6"/>
    <w:rsid w:val="134D2675"/>
    <w:rsid w:val="138959E3"/>
    <w:rsid w:val="13DD188A"/>
    <w:rsid w:val="1417033E"/>
    <w:rsid w:val="14260297"/>
    <w:rsid w:val="1461426A"/>
    <w:rsid w:val="14B9009A"/>
    <w:rsid w:val="14C13DF5"/>
    <w:rsid w:val="14DD52B7"/>
    <w:rsid w:val="1568300C"/>
    <w:rsid w:val="1578154F"/>
    <w:rsid w:val="15B61D16"/>
    <w:rsid w:val="15D370F1"/>
    <w:rsid w:val="15DC5FD5"/>
    <w:rsid w:val="16311C5B"/>
    <w:rsid w:val="16634A5A"/>
    <w:rsid w:val="16797AE5"/>
    <w:rsid w:val="168B30E0"/>
    <w:rsid w:val="168D490F"/>
    <w:rsid w:val="169B0083"/>
    <w:rsid w:val="16A23764"/>
    <w:rsid w:val="16AE1F94"/>
    <w:rsid w:val="16CC44CC"/>
    <w:rsid w:val="16D47B5C"/>
    <w:rsid w:val="16F6268C"/>
    <w:rsid w:val="172054F7"/>
    <w:rsid w:val="17294B3E"/>
    <w:rsid w:val="17317322"/>
    <w:rsid w:val="1765168D"/>
    <w:rsid w:val="17AB5D47"/>
    <w:rsid w:val="17FC0062"/>
    <w:rsid w:val="184B4CB4"/>
    <w:rsid w:val="185022E7"/>
    <w:rsid w:val="18DE17DA"/>
    <w:rsid w:val="191B509A"/>
    <w:rsid w:val="19B117EF"/>
    <w:rsid w:val="19C26506"/>
    <w:rsid w:val="19CE23A1"/>
    <w:rsid w:val="19CF5DED"/>
    <w:rsid w:val="19D13793"/>
    <w:rsid w:val="1A275FCD"/>
    <w:rsid w:val="1A331DE5"/>
    <w:rsid w:val="1A5359A6"/>
    <w:rsid w:val="1A943AF7"/>
    <w:rsid w:val="1AF8344E"/>
    <w:rsid w:val="1BA57132"/>
    <w:rsid w:val="1BB548EA"/>
    <w:rsid w:val="1BC670A8"/>
    <w:rsid w:val="1BF02D50"/>
    <w:rsid w:val="1C1B1EB3"/>
    <w:rsid w:val="1C64690B"/>
    <w:rsid w:val="1CC40435"/>
    <w:rsid w:val="1CE0656D"/>
    <w:rsid w:val="1D8E3FE2"/>
    <w:rsid w:val="1DE85A76"/>
    <w:rsid w:val="1E03326D"/>
    <w:rsid w:val="1E2F3584"/>
    <w:rsid w:val="1E4470D6"/>
    <w:rsid w:val="1E4F0105"/>
    <w:rsid w:val="1E5866DD"/>
    <w:rsid w:val="1E700A63"/>
    <w:rsid w:val="1E8F2A30"/>
    <w:rsid w:val="1EA41285"/>
    <w:rsid w:val="1EAB7361"/>
    <w:rsid w:val="1ED94129"/>
    <w:rsid w:val="1EE514B6"/>
    <w:rsid w:val="1EFF4E05"/>
    <w:rsid w:val="1F0749CA"/>
    <w:rsid w:val="1F4304FF"/>
    <w:rsid w:val="1F54299E"/>
    <w:rsid w:val="1F667C26"/>
    <w:rsid w:val="1F711DBC"/>
    <w:rsid w:val="1F867702"/>
    <w:rsid w:val="1F892C3A"/>
    <w:rsid w:val="1FA27D3A"/>
    <w:rsid w:val="1FE21EC2"/>
    <w:rsid w:val="201008A9"/>
    <w:rsid w:val="20136519"/>
    <w:rsid w:val="201C373B"/>
    <w:rsid w:val="20820C14"/>
    <w:rsid w:val="20AA62CB"/>
    <w:rsid w:val="20B00A53"/>
    <w:rsid w:val="20DF47CB"/>
    <w:rsid w:val="215B337E"/>
    <w:rsid w:val="216C04F5"/>
    <w:rsid w:val="217B07D6"/>
    <w:rsid w:val="218712BD"/>
    <w:rsid w:val="21A2432F"/>
    <w:rsid w:val="21BC301F"/>
    <w:rsid w:val="21CD73E2"/>
    <w:rsid w:val="21D00C81"/>
    <w:rsid w:val="21E50687"/>
    <w:rsid w:val="220254EF"/>
    <w:rsid w:val="22266AF2"/>
    <w:rsid w:val="228559B2"/>
    <w:rsid w:val="22A20FA7"/>
    <w:rsid w:val="232C2F57"/>
    <w:rsid w:val="23A81EB5"/>
    <w:rsid w:val="23B100DE"/>
    <w:rsid w:val="23B6787C"/>
    <w:rsid w:val="23E21E1B"/>
    <w:rsid w:val="23FC7B0B"/>
    <w:rsid w:val="243125A8"/>
    <w:rsid w:val="24657AC4"/>
    <w:rsid w:val="24882976"/>
    <w:rsid w:val="249A6118"/>
    <w:rsid w:val="251578C4"/>
    <w:rsid w:val="25253340"/>
    <w:rsid w:val="253955A0"/>
    <w:rsid w:val="2544167D"/>
    <w:rsid w:val="25865660"/>
    <w:rsid w:val="25866263"/>
    <w:rsid w:val="258F065A"/>
    <w:rsid w:val="25D6438C"/>
    <w:rsid w:val="262923F6"/>
    <w:rsid w:val="26753246"/>
    <w:rsid w:val="26840989"/>
    <w:rsid w:val="26924756"/>
    <w:rsid w:val="26D97E99"/>
    <w:rsid w:val="271146E5"/>
    <w:rsid w:val="271907E2"/>
    <w:rsid w:val="27295DF1"/>
    <w:rsid w:val="2735397F"/>
    <w:rsid w:val="274912B9"/>
    <w:rsid w:val="279D482F"/>
    <w:rsid w:val="27C645BC"/>
    <w:rsid w:val="27CD64A0"/>
    <w:rsid w:val="27EC4921"/>
    <w:rsid w:val="28120F00"/>
    <w:rsid w:val="28326AA6"/>
    <w:rsid w:val="28520A01"/>
    <w:rsid w:val="288874B8"/>
    <w:rsid w:val="28A41075"/>
    <w:rsid w:val="28A7322C"/>
    <w:rsid w:val="28AD1416"/>
    <w:rsid w:val="28FA35CB"/>
    <w:rsid w:val="291A53C6"/>
    <w:rsid w:val="292D4147"/>
    <w:rsid w:val="29695641"/>
    <w:rsid w:val="297840D8"/>
    <w:rsid w:val="29D46E34"/>
    <w:rsid w:val="29EA3339"/>
    <w:rsid w:val="29F660A7"/>
    <w:rsid w:val="2A0E114D"/>
    <w:rsid w:val="2A327707"/>
    <w:rsid w:val="2A7423E6"/>
    <w:rsid w:val="2A9A62D0"/>
    <w:rsid w:val="2AE97D0D"/>
    <w:rsid w:val="2B1C0D4E"/>
    <w:rsid w:val="2B3B74A1"/>
    <w:rsid w:val="2B3C2D80"/>
    <w:rsid w:val="2B55010B"/>
    <w:rsid w:val="2C212804"/>
    <w:rsid w:val="2C81364F"/>
    <w:rsid w:val="2CA3146B"/>
    <w:rsid w:val="2CE0006A"/>
    <w:rsid w:val="2CE46E4B"/>
    <w:rsid w:val="2CF565D5"/>
    <w:rsid w:val="2CFE05A2"/>
    <w:rsid w:val="2D17374A"/>
    <w:rsid w:val="2D306F2B"/>
    <w:rsid w:val="2D7339BD"/>
    <w:rsid w:val="2DB15E8A"/>
    <w:rsid w:val="2DB24D4A"/>
    <w:rsid w:val="2DB27C26"/>
    <w:rsid w:val="2DCE0BC4"/>
    <w:rsid w:val="2DCE1EBA"/>
    <w:rsid w:val="2E346E06"/>
    <w:rsid w:val="2E59637B"/>
    <w:rsid w:val="2E5F5866"/>
    <w:rsid w:val="2ECB4055"/>
    <w:rsid w:val="2ED85DFF"/>
    <w:rsid w:val="2EF7784D"/>
    <w:rsid w:val="2F185D21"/>
    <w:rsid w:val="2F4208D2"/>
    <w:rsid w:val="2F63028D"/>
    <w:rsid w:val="2F7716E9"/>
    <w:rsid w:val="2FB07FE7"/>
    <w:rsid w:val="2FBB433A"/>
    <w:rsid w:val="300050A6"/>
    <w:rsid w:val="30415FA8"/>
    <w:rsid w:val="30741FB4"/>
    <w:rsid w:val="30AE55C4"/>
    <w:rsid w:val="30C35F0F"/>
    <w:rsid w:val="30FD4260"/>
    <w:rsid w:val="310821E5"/>
    <w:rsid w:val="31273A38"/>
    <w:rsid w:val="31576CC8"/>
    <w:rsid w:val="318A60B5"/>
    <w:rsid w:val="31A75185"/>
    <w:rsid w:val="31E42322"/>
    <w:rsid w:val="31E56E4F"/>
    <w:rsid w:val="31F97998"/>
    <w:rsid w:val="32093536"/>
    <w:rsid w:val="326D294D"/>
    <w:rsid w:val="32A912AB"/>
    <w:rsid w:val="32AB643B"/>
    <w:rsid w:val="32C16A4B"/>
    <w:rsid w:val="32D050B8"/>
    <w:rsid w:val="32D66B44"/>
    <w:rsid w:val="32EB1476"/>
    <w:rsid w:val="32FD4C9D"/>
    <w:rsid w:val="32FF15C5"/>
    <w:rsid w:val="3307064A"/>
    <w:rsid w:val="33680739"/>
    <w:rsid w:val="33896EE1"/>
    <w:rsid w:val="339D540B"/>
    <w:rsid w:val="33DF56D7"/>
    <w:rsid w:val="33F614CC"/>
    <w:rsid w:val="34046622"/>
    <w:rsid w:val="35234AC0"/>
    <w:rsid w:val="354B6EE5"/>
    <w:rsid w:val="356E638F"/>
    <w:rsid w:val="357B71D4"/>
    <w:rsid w:val="35A324DC"/>
    <w:rsid w:val="35AD5109"/>
    <w:rsid w:val="35B53E09"/>
    <w:rsid w:val="36005E25"/>
    <w:rsid w:val="360D1CB0"/>
    <w:rsid w:val="36300FF3"/>
    <w:rsid w:val="36414C8A"/>
    <w:rsid w:val="36771BA1"/>
    <w:rsid w:val="368734D4"/>
    <w:rsid w:val="368E76EE"/>
    <w:rsid w:val="36A27FE9"/>
    <w:rsid w:val="36AA789A"/>
    <w:rsid w:val="36AF3103"/>
    <w:rsid w:val="36BA2093"/>
    <w:rsid w:val="36C726DC"/>
    <w:rsid w:val="36F8714B"/>
    <w:rsid w:val="373C3AAF"/>
    <w:rsid w:val="3757121F"/>
    <w:rsid w:val="3768578B"/>
    <w:rsid w:val="379801D0"/>
    <w:rsid w:val="37A75B88"/>
    <w:rsid w:val="37B962F4"/>
    <w:rsid w:val="37C404E8"/>
    <w:rsid w:val="37E40B8A"/>
    <w:rsid w:val="37FA0E99"/>
    <w:rsid w:val="380723E4"/>
    <w:rsid w:val="380729ED"/>
    <w:rsid w:val="381E7EEB"/>
    <w:rsid w:val="381F1BC2"/>
    <w:rsid w:val="39343BEA"/>
    <w:rsid w:val="39922270"/>
    <w:rsid w:val="39954300"/>
    <w:rsid w:val="399F745E"/>
    <w:rsid w:val="39A1385A"/>
    <w:rsid w:val="39F01641"/>
    <w:rsid w:val="3A537A35"/>
    <w:rsid w:val="3A5E4C24"/>
    <w:rsid w:val="3A8A06D2"/>
    <w:rsid w:val="3AE40EFC"/>
    <w:rsid w:val="3AFE3AA8"/>
    <w:rsid w:val="3B58781C"/>
    <w:rsid w:val="3B603FB5"/>
    <w:rsid w:val="3B9C1EA7"/>
    <w:rsid w:val="3C074F53"/>
    <w:rsid w:val="3C1063F2"/>
    <w:rsid w:val="3C1A7543"/>
    <w:rsid w:val="3C3F1C5A"/>
    <w:rsid w:val="3C434DC6"/>
    <w:rsid w:val="3C5250C0"/>
    <w:rsid w:val="3C5938F5"/>
    <w:rsid w:val="3C605616"/>
    <w:rsid w:val="3D307460"/>
    <w:rsid w:val="3D336A22"/>
    <w:rsid w:val="3D815A91"/>
    <w:rsid w:val="3D8E5117"/>
    <w:rsid w:val="3D935590"/>
    <w:rsid w:val="3DDE0AF1"/>
    <w:rsid w:val="3DE2791A"/>
    <w:rsid w:val="3E0B0C1F"/>
    <w:rsid w:val="3E467EA9"/>
    <w:rsid w:val="3E902962"/>
    <w:rsid w:val="3E9E3989"/>
    <w:rsid w:val="3EB4066C"/>
    <w:rsid w:val="3EDF1821"/>
    <w:rsid w:val="3F051FBF"/>
    <w:rsid w:val="3F4643A3"/>
    <w:rsid w:val="3F4B08A0"/>
    <w:rsid w:val="3F7C3208"/>
    <w:rsid w:val="3FAB3EFB"/>
    <w:rsid w:val="3FFD02C3"/>
    <w:rsid w:val="4071000B"/>
    <w:rsid w:val="408E2A02"/>
    <w:rsid w:val="40AD4660"/>
    <w:rsid w:val="40F34CBE"/>
    <w:rsid w:val="411246CC"/>
    <w:rsid w:val="411B580C"/>
    <w:rsid w:val="41200E9D"/>
    <w:rsid w:val="41720FB5"/>
    <w:rsid w:val="41B66084"/>
    <w:rsid w:val="41BE2CFA"/>
    <w:rsid w:val="41DE2E55"/>
    <w:rsid w:val="41E07D3E"/>
    <w:rsid w:val="42167715"/>
    <w:rsid w:val="42876CE2"/>
    <w:rsid w:val="428E4701"/>
    <w:rsid w:val="42D36040"/>
    <w:rsid w:val="42F869F2"/>
    <w:rsid w:val="43644E69"/>
    <w:rsid w:val="43AD6589"/>
    <w:rsid w:val="44562E10"/>
    <w:rsid w:val="44B518E4"/>
    <w:rsid w:val="44B813D4"/>
    <w:rsid w:val="44F70EBD"/>
    <w:rsid w:val="44FB0A19"/>
    <w:rsid w:val="45042FAA"/>
    <w:rsid w:val="4507013A"/>
    <w:rsid w:val="455C1937"/>
    <w:rsid w:val="458F7E0C"/>
    <w:rsid w:val="46047F8E"/>
    <w:rsid w:val="461A28EF"/>
    <w:rsid w:val="464A2500"/>
    <w:rsid w:val="466A72CE"/>
    <w:rsid w:val="46975DF4"/>
    <w:rsid w:val="472B0583"/>
    <w:rsid w:val="4766461F"/>
    <w:rsid w:val="477766D9"/>
    <w:rsid w:val="477C40B7"/>
    <w:rsid w:val="47DB3DAD"/>
    <w:rsid w:val="48194A85"/>
    <w:rsid w:val="48495DFF"/>
    <w:rsid w:val="48575D8F"/>
    <w:rsid w:val="4873716D"/>
    <w:rsid w:val="489565B3"/>
    <w:rsid w:val="48A13DC8"/>
    <w:rsid w:val="48AD4E73"/>
    <w:rsid w:val="48B337FF"/>
    <w:rsid w:val="48B70D11"/>
    <w:rsid w:val="48D733E1"/>
    <w:rsid w:val="48EB7FCA"/>
    <w:rsid w:val="49086CBA"/>
    <w:rsid w:val="49316F70"/>
    <w:rsid w:val="493368FD"/>
    <w:rsid w:val="49347C3B"/>
    <w:rsid w:val="49524257"/>
    <w:rsid w:val="49B02E7D"/>
    <w:rsid w:val="49B31F01"/>
    <w:rsid w:val="49BB4089"/>
    <w:rsid w:val="49C97DEE"/>
    <w:rsid w:val="49DB109C"/>
    <w:rsid w:val="49E52C6C"/>
    <w:rsid w:val="4A196989"/>
    <w:rsid w:val="4A1A2C2A"/>
    <w:rsid w:val="4A2420E4"/>
    <w:rsid w:val="4A2512BA"/>
    <w:rsid w:val="4A352F2C"/>
    <w:rsid w:val="4A3E412A"/>
    <w:rsid w:val="4A433A00"/>
    <w:rsid w:val="4A4B4D63"/>
    <w:rsid w:val="4A886551"/>
    <w:rsid w:val="4A914D76"/>
    <w:rsid w:val="4AAD1308"/>
    <w:rsid w:val="4AD82C70"/>
    <w:rsid w:val="4B050440"/>
    <w:rsid w:val="4B6D0130"/>
    <w:rsid w:val="4B926BE7"/>
    <w:rsid w:val="4BBE0A90"/>
    <w:rsid w:val="4BDD7BA7"/>
    <w:rsid w:val="4C9E5360"/>
    <w:rsid w:val="4CBC7AF3"/>
    <w:rsid w:val="4D027691"/>
    <w:rsid w:val="4D8D33B6"/>
    <w:rsid w:val="4DAD0E7E"/>
    <w:rsid w:val="4DC64B62"/>
    <w:rsid w:val="4DE312D8"/>
    <w:rsid w:val="4DF94F37"/>
    <w:rsid w:val="4E3E6DEE"/>
    <w:rsid w:val="4EA57EB3"/>
    <w:rsid w:val="4F1801C5"/>
    <w:rsid w:val="4F1815D8"/>
    <w:rsid w:val="4F312689"/>
    <w:rsid w:val="4FA17635"/>
    <w:rsid w:val="500109DB"/>
    <w:rsid w:val="500656EA"/>
    <w:rsid w:val="503F15BF"/>
    <w:rsid w:val="50642410"/>
    <w:rsid w:val="5077108F"/>
    <w:rsid w:val="50855379"/>
    <w:rsid w:val="516701F0"/>
    <w:rsid w:val="516E5741"/>
    <w:rsid w:val="51994ECA"/>
    <w:rsid w:val="52154F6C"/>
    <w:rsid w:val="52972235"/>
    <w:rsid w:val="52CB2081"/>
    <w:rsid w:val="52E01E33"/>
    <w:rsid w:val="52EA504C"/>
    <w:rsid w:val="52EF06B7"/>
    <w:rsid w:val="53091D0F"/>
    <w:rsid w:val="534C3D5B"/>
    <w:rsid w:val="5358625C"/>
    <w:rsid w:val="536846E4"/>
    <w:rsid w:val="5373420A"/>
    <w:rsid w:val="53B31FFA"/>
    <w:rsid w:val="542B0171"/>
    <w:rsid w:val="549C1C62"/>
    <w:rsid w:val="54E44EA5"/>
    <w:rsid w:val="54F2041B"/>
    <w:rsid w:val="54FB5435"/>
    <w:rsid w:val="55313C6C"/>
    <w:rsid w:val="55320F1C"/>
    <w:rsid w:val="554C53C5"/>
    <w:rsid w:val="559F537E"/>
    <w:rsid w:val="55A80C60"/>
    <w:rsid w:val="55E5390A"/>
    <w:rsid w:val="55F10BEA"/>
    <w:rsid w:val="55FF6E63"/>
    <w:rsid w:val="560D34CE"/>
    <w:rsid w:val="56644F18"/>
    <w:rsid w:val="567632A2"/>
    <w:rsid w:val="568E6439"/>
    <w:rsid w:val="56D737F9"/>
    <w:rsid w:val="56E218A8"/>
    <w:rsid w:val="570E17B8"/>
    <w:rsid w:val="57131414"/>
    <w:rsid w:val="571F09D2"/>
    <w:rsid w:val="57932A23"/>
    <w:rsid w:val="581770D7"/>
    <w:rsid w:val="58374347"/>
    <w:rsid w:val="58457CD0"/>
    <w:rsid w:val="585711A2"/>
    <w:rsid w:val="58C92183"/>
    <w:rsid w:val="58C94D58"/>
    <w:rsid w:val="59277154"/>
    <w:rsid w:val="593A20E1"/>
    <w:rsid w:val="59480B21"/>
    <w:rsid w:val="59771406"/>
    <w:rsid w:val="59B212B6"/>
    <w:rsid w:val="59E446EB"/>
    <w:rsid w:val="5A0370DE"/>
    <w:rsid w:val="5A0606CA"/>
    <w:rsid w:val="5A0614BF"/>
    <w:rsid w:val="5A3B14EF"/>
    <w:rsid w:val="5AB242ED"/>
    <w:rsid w:val="5AC74DF8"/>
    <w:rsid w:val="5ADE12BE"/>
    <w:rsid w:val="5ADF17A9"/>
    <w:rsid w:val="5AF55909"/>
    <w:rsid w:val="5B2630E4"/>
    <w:rsid w:val="5B751975"/>
    <w:rsid w:val="5B772776"/>
    <w:rsid w:val="5BAD7C06"/>
    <w:rsid w:val="5BB81099"/>
    <w:rsid w:val="5C280A4D"/>
    <w:rsid w:val="5CD97003"/>
    <w:rsid w:val="5CFF1508"/>
    <w:rsid w:val="5D040FCE"/>
    <w:rsid w:val="5D236E89"/>
    <w:rsid w:val="5D4D5F01"/>
    <w:rsid w:val="5D6515BE"/>
    <w:rsid w:val="5D7B5F87"/>
    <w:rsid w:val="5D870C6B"/>
    <w:rsid w:val="5E053ECD"/>
    <w:rsid w:val="5E240CCF"/>
    <w:rsid w:val="5E4C4C10"/>
    <w:rsid w:val="5E68756F"/>
    <w:rsid w:val="5E7F0E92"/>
    <w:rsid w:val="5E922FD2"/>
    <w:rsid w:val="5EA80A59"/>
    <w:rsid w:val="5EAA77E0"/>
    <w:rsid w:val="5EB620AD"/>
    <w:rsid w:val="5ECD7C67"/>
    <w:rsid w:val="5EE0439E"/>
    <w:rsid w:val="5F120CCD"/>
    <w:rsid w:val="5F4132BE"/>
    <w:rsid w:val="5F544D41"/>
    <w:rsid w:val="5F802E3A"/>
    <w:rsid w:val="5FF94530"/>
    <w:rsid w:val="600871C3"/>
    <w:rsid w:val="600A073C"/>
    <w:rsid w:val="600F2268"/>
    <w:rsid w:val="601B5081"/>
    <w:rsid w:val="60255718"/>
    <w:rsid w:val="609A4BD3"/>
    <w:rsid w:val="60E31383"/>
    <w:rsid w:val="6171137E"/>
    <w:rsid w:val="61A134C4"/>
    <w:rsid w:val="62057E78"/>
    <w:rsid w:val="620F26F9"/>
    <w:rsid w:val="621D05DD"/>
    <w:rsid w:val="626C7A56"/>
    <w:rsid w:val="6300246C"/>
    <w:rsid w:val="630C5CCA"/>
    <w:rsid w:val="632704EF"/>
    <w:rsid w:val="6356208C"/>
    <w:rsid w:val="635E5215"/>
    <w:rsid w:val="63604CB9"/>
    <w:rsid w:val="638559B0"/>
    <w:rsid w:val="63C3663B"/>
    <w:rsid w:val="644F42C7"/>
    <w:rsid w:val="64A10C94"/>
    <w:rsid w:val="64D92503"/>
    <w:rsid w:val="655C559A"/>
    <w:rsid w:val="65AC27E1"/>
    <w:rsid w:val="65D26511"/>
    <w:rsid w:val="65F17A91"/>
    <w:rsid w:val="66052E26"/>
    <w:rsid w:val="660E452A"/>
    <w:rsid w:val="66172B3B"/>
    <w:rsid w:val="6646463A"/>
    <w:rsid w:val="664967D6"/>
    <w:rsid w:val="666A19E3"/>
    <w:rsid w:val="66717623"/>
    <w:rsid w:val="66845C1A"/>
    <w:rsid w:val="66890C0F"/>
    <w:rsid w:val="66A00B1A"/>
    <w:rsid w:val="67113410"/>
    <w:rsid w:val="671F493B"/>
    <w:rsid w:val="67220C03"/>
    <w:rsid w:val="675A5CEE"/>
    <w:rsid w:val="6771251F"/>
    <w:rsid w:val="678D0D6C"/>
    <w:rsid w:val="67912D2E"/>
    <w:rsid w:val="67AE20A4"/>
    <w:rsid w:val="67CE5306"/>
    <w:rsid w:val="67E66902"/>
    <w:rsid w:val="67E9627C"/>
    <w:rsid w:val="682E474C"/>
    <w:rsid w:val="68656D1C"/>
    <w:rsid w:val="686E5813"/>
    <w:rsid w:val="68B8495E"/>
    <w:rsid w:val="68BD7FAB"/>
    <w:rsid w:val="69044CCB"/>
    <w:rsid w:val="695503E5"/>
    <w:rsid w:val="695E6E70"/>
    <w:rsid w:val="696F7727"/>
    <w:rsid w:val="69761B48"/>
    <w:rsid w:val="69826F10"/>
    <w:rsid w:val="69B64CFD"/>
    <w:rsid w:val="6A291D77"/>
    <w:rsid w:val="6A294057"/>
    <w:rsid w:val="6A311144"/>
    <w:rsid w:val="6A826D0C"/>
    <w:rsid w:val="6AA95198"/>
    <w:rsid w:val="6AC978EB"/>
    <w:rsid w:val="6AFE0FD5"/>
    <w:rsid w:val="6B363DC9"/>
    <w:rsid w:val="6B770B4F"/>
    <w:rsid w:val="6B9E0FF1"/>
    <w:rsid w:val="6BB35FF6"/>
    <w:rsid w:val="6C1765A4"/>
    <w:rsid w:val="6C3F19FF"/>
    <w:rsid w:val="6C3F4EF1"/>
    <w:rsid w:val="6C520153"/>
    <w:rsid w:val="6C83461C"/>
    <w:rsid w:val="6D2A1711"/>
    <w:rsid w:val="6D2C2012"/>
    <w:rsid w:val="6D414CBC"/>
    <w:rsid w:val="6D465AD5"/>
    <w:rsid w:val="6D47061C"/>
    <w:rsid w:val="6D612C36"/>
    <w:rsid w:val="6D641F3F"/>
    <w:rsid w:val="6DAC7479"/>
    <w:rsid w:val="6E5F79C5"/>
    <w:rsid w:val="6E6733A0"/>
    <w:rsid w:val="6E753AC9"/>
    <w:rsid w:val="6E764D7C"/>
    <w:rsid w:val="6EAB3C78"/>
    <w:rsid w:val="6EBE56B6"/>
    <w:rsid w:val="6ECF7E2D"/>
    <w:rsid w:val="6EEB5DB6"/>
    <w:rsid w:val="6F377216"/>
    <w:rsid w:val="6F764825"/>
    <w:rsid w:val="6F7E0BF8"/>
    <w:rsid w:val="6FA0300D"/>
    <w:rsid w:val="6FC42292"/>
    <w:rsid w:val="6FE5761E"/>
    <w:rsid w:val="6FF670D1"/>
    <w:rsid w:val="70241CE7"/>
    <w:rsid w:val="705A492B"/>
    <w:rsid w:val="70B054D2"/>
    <w:rsid w:val="70E138DD"/>
    <w:rsid w:val="713056CE"/>
    <w:rsid w:val="71435060"/>
    <w:rsid w:val="71B804AF"/>
    <w:rsid w:val="71B92164"/>
    <w:rsid w:val="71BD5126"/>
    <w:rsid w:val="71E04DB2"/>
    <w:rsid w:val="72101FFE"/>
    <w:rsid w:val="72315F52"/>
    <w:rsid w:val="72380C91"/>
    <w:rsid w:val="72912A35"/>
    <w:rsid w:val="72933FAE"/>
    <w:rsid w:val="72FC3A72"/>
    <w:rsid w:val="73036065"/>
    <w:rsid w:val="73194E17"/>
    <w:rsid w:val="73247AB1"/>
    <w:rsid w:val="73610D05"/>
    <w:rsid w:val="737E32EA"/>
    <w:rsid w:val="73C25CE2"/>
    <w:rsid w:val="73E159A2"/>
    <w:rsid w:val="741C2FF0"/>
    <w:rsid w:val="74207BDF"/>
    <w:rsid w:val="743A788B"/>
    <w:rsid w:val="74640AAD"/>
    <w:rsid w:val="74704AA1"/>
    <w:rsid w:val="748862C1"/>
    <w:rsid w:val="74933140"/>
    <w:rsid w:val="74F90CE3"/>
    <w:rsid w:val="74FF73E9"/>
    <w:rsid w:val="75145A02"/>
    <w:rsid w:val="752A6035"/>
    <w:rsid w:val="75647827"/>
    <w:rsid w:val="757D656B"/>
    <w:rsid w:val="757F4DA8"/>
    <w:rsid w:val="759F5B15"/>
    <w:rsid w:val="75A3300B"/>
    <w:rsid w:val="75CD4430"/>
    <w:rsid w:val="76105F0C"/>
    <w:rsid w:val="76176FE0"/>
    <w:rsid w:val="762E3465"/>
    <w:rsid w:val="76692FDA"/>
    <w:rsid w:val="766E7E14"/>
    <w:rsid w:val="76B53CBA"/>
    <w:rsid w:val="76DE7C83"/>
    <w:rsid w:val="77065E4C"/>
    <w:rsid w:val="77097833"/>
    <w:rsid w:val="773735B1"/>
    <w:rsid w:val="774723A6"/>
    <w:rsid w:val="775943C5"/>
    <w:rsid w:val="775B68EA"/>
    <w:rsid w:val="775F34D3"/>
    <w:rsid w:val="779A691A"/>
    <w:rsid w:val="779F71D5"/>
    <w:rsid w:val="77EF2BD0"/>
    <w:rsid w:val="782B00BB"/>
    <w:rsid w:val="782C7998"/>
    <w:rsid w:val="783E35D1"/>
    <w:rsid w:val="78567579"/>
    <w:rsid w:val="78793308"/>
    <w:rsid w:val="78A334D8"/>
    <w:rsid w:val="78AF121B"/>
    <w:rsid w:val="78B402A3"/>
    <w:rsid w:val="791D52BE"/>
    <w:rsid w:val="793C4C56"/>
    <w:rsid w:val="795F3706"/>
    <w:rsid w:val="7975290A"/>
    <w:rsid w:val="797A6688"/>
    <w:rsid w:val="79B53B29"/>
    <w:rsid w:val="79CF4143"/>
    <w:rsid w:val="7A0B19CB"/>
    <w:rsid w:val="7A1563A6"/>
    <w:rsid w:val="7A305301"/>
    <w:rsid w:val="7A8E5211"/>
    <w:rsid w:val="7AA3348F"/>
    <w:rsid w:val="7AEA7832"/>
    <w:rsid w:val="7B086666"/>
    <w:rsid w:val="7B355345"/>
    <w:rsid w:val="7B6A606C"/>
    <w:rsid w:val="7B6C6499"/>
    <w:rsid w:val="7B825CBD"/>
    <w:rsid w:val="7B9D7B0E"/>
    <w:rsid w:val="7C9937EB"/>
    <w:rsid w:val="7CFB256C"/>
    <w:rsid w:val="7D2A53A6"/>
    <w:rsid w:val="7D2F7F78"/>
    <w:rsid w:val="7D4E1AA1"/>
    <w:rsid w:val="7D666919"/>
    <w:rsid w:val="7D6774DC"/>
    <w:rsid w:val="7DA63EE4"/>
    <w:rsid w:val="7DF10ED8"/>
    <w:rsid w:val="7DFF5F32"/>
    <w:rsid w:val="7E1B2D4A"/>
    <w:rsid w:val="7E1F5511"/>
    <w:rsid w:val="7E2122B0"/>
    <w:rsid w:val="7E507FA2"/>
    <w:rsid w:val="7E667BD9"/>
    <w:rsid w:val="7E694F12"/>
    <w:rsid w:val="7E9D2E6E"/>
    <w:rsid w:val="7EBB7543"/>
    <w:rsid w:val="7EC564AB"/>
    <w:rsid w:val="7ECB430D"/>
    <w:rsid w:val="7F0B3ECA"/>
    <w:rsid w:val="7F1334F7"/>
    <w:rsid w:val="7F330CBF"/>
    <w:rsid w:val="7F4D29CA"/>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numPr>
        <w:ilvl w:val="0"/>
        <w:numId w:val="2"/>
      </w:numPr>
    </w:pPr>
  </w:style>
  <w:style w:type="paragraph" w:styleId="6">
    <w:name w:val="caption"/>
    <w:basedOn w:val="1"/>
    <w:next w:val="1"/>
    <w:autoRedefine/>
    <w:qFormat/>
    <w:uiPriority w:val="0"/>
    <w:rPr>
      <w:rFonts w:ascii="Arial" w:hAnsi="Arial" w:eastAsia="黑体" w:cs="Arial"/>
      <w:sz w:val="20"/>
    </w:rPr>
  </w:style>
  <w:style w:type="paragraph" w:styleId="7">
    <w:name w:val="annotation text"/>
    <w:basedOn w:val="1"/>
    <w:link w:val="56"/>
    <w:autoRedefine/>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autoRedefine/>
    <w:unhideWhenUsed/>
    <w:qFormat/>
    <w:uiPriority w:val="99"/>
    <w:pPr>
      <w:spacing w:after="120"/>
    </w:pPr>
  </w:style>
  <w:style w:type="paragraph" w:customStyle="1" w:styleId="9">
    <w:name w:val="style4"/>
    <w:basedOn w:val="1"/>
    <w:next w:val="10"/>
    <w:autoRedefine/>
    <w:qFormat/>
    <w:uiPriority w:val="0"/>
    <w:pPr>
      <w:widowControl/>
      <w:spacing w:before="280" w:after="280"/>
    </w:pPr>
    <w:rPr>
      <w:rFonts w:ascii="宋体"/>
      <w:sz w:val="18"/>
    </w:rPr>
  </w:style>
  <w:style w:type="paragraph" w:customStyle="1" w:styleId="1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autoRedefine/>
    <w:qFormat/>
    <w:uiPriority w:val="0"/>
    <w:pPr>
      <w:adjustRightInd w:val="0"/>
      <w:spacing w:after="120" w:line="360" w:lineRule="atLeast"/>
      <w:ind w:left="420" w:leftChars="200"/>
      <w:jc w:val="left"/>
      <w:textAlignment w:val="baseline"/>
    </w:pPr>
    <w:rPr>
      <w:sz w:val="24"/>
    </w:rPr>
  </w:style>
  <w:style w:type="paragraph" w:styleId="12">
    <w:name w:val="envelope return"/>
    <w:basedOn w:val="1"/>
    <w:autoRedefine/>
    <w:unhideWhenUsed/>
    <w:qFormat/>
    <w:uiPriority w:val="99"/>
    <w:pPr>
      <w:snapToGrid w:val="0"/>
    </w:pPr>
    <w:rPr>
      <w:rFonts w:ascii="Arial" w:hAnsi="Arial"/>
    </w:rPr>
  </w:style>
  <w:style w:type="paragraph" w:styleId="13">
    <w:name w:val="Block Text"/>
    <w:basedOn w:val="1"/>
    <w:autoRedefine/>
    <w:unhideWhenUsed/>
    <w:qFormat/>
    <w:uiPriority w:val="99"/>
    <w:pPr>
      <w:adjustRightInd w:val="0"/>
      <w:spacing w:line="300" w:lineRule="auto"/>
      <w:ind w:left="958" w:right="-120" w:rightChars="-120"/>
    </w:pPr>
    <w:rPr>
      <w:rFonts w:hint="eastAsia"/>
      <w:sz w:val="28"/>
    </w:rPr>
  </w:style>
  <w:style w:type="paragraph" w:styleId="14">
    <w:name w:val="Plain Text"/>
    <w:basedOn w:val="1"/>
    <w:autoRedefine/>
    <w:qFormat/>
    <w:uiPriority w:val="0"/>
    <w:rPr>
      <w:sz w:val="24"/>
    </w:rPr>
  </w:style>
  <w:style w:type="paragraph" w:styleId="15">
    <w:name w:val="Date"/>
    <w:basedOn w:val="1"/>
    <w:next w:val="1"/>
    <w:autoRedefine/>
    <w:unhideWhenUsed/>
    <w:qFormat/>
    <w:uiPriority w:val="99"/>
    <w:pPr>
      <w:ind w:left="100" w:leftChars="2500"/>
    </w:pPr>
  </w:style>
  <w:style w:type="paragraph" w:styleId="16">
    <w:name w:val="Balloon Text"/>
    <w:basedOn w:val="1"/>
    <w:link w:val="57"/>
    <w:autoRedefine/>
    <w:qFormat/>
    <w:uiPriority w:val="0"/>
    <w:rPr>
      <w:rFonts w:ascii="宋体"/>
      <w:sz w:val="18"/>
      <w:szCs w:val="18"/>
    </w:rPr>
  </w:style>
  <w:style w:type="paragraph" w:styleId="17">
    <w:name w:val="footer"/>
    <w:basedOn w:val="1"/>
    <w:link w:val="40"/>
    <w:autoRedefine/>
    <w:qFormat/>
    <w:uiPriority w:val="99"/>
    <w:pPr>
      <w:tabs>
        <w:tab w:val="center" w:pos="4153"/>
        <w:tab w:val="right" w:pos="8306"/>
      </w:tabs>
      <w:snapToGrid w:val="0"/>
      <w:jc w:val="left"/>
    </w:pPr>
    <w:rPr>
      <w:sz w:val="18"/>
      <w:szCs w:val="18"/>
    </w:rPr>
  </w:style>
  <w:style w:type="paragraph" w:styleId="18">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20">
    <w:name w:val="List"/>
    <w:basedOn w:val="1"/>
    <w:autoRedefine/>
    <w:qFormat/>
    <w:uiPriority w:val="0"/>
    <w:pPr>
      <w:ind w:left="420" w:hanging="420"/>
    </w:pPr>
    <w:rPr>
      <w:szCs w:val="20"/>
    </w:rPr>
  </w:style>
  <w:style w:type="paragraph" w:styleId="21">
    <w:name w:val="footnote text"/>
    <w:basedOn w:val="1"/>
    <w:autoRedefine/>
    <w:semiHidden/>
    <w:qFormat/>
    <w:uiPriority w:val="99"/>
    <w:pPr>
      <w:snapToGrid w:val="0"/>
      <w:jc w:val="left"/>
    </w:pPr>
    <w:rPr>
      <w:sz w:val="18"/>
      <w:szCs w:val="18"/>
    </w:rPr>
  </w:style>
  <w:style w:type="paragraph" w:styleId="22">
    <w:name w:val="Body Text 2"/>
    <w:basedOn w:val="1"/>
    <w:autoRedefine/>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autoRedefine/>
    <w:qFormat/>
    <w:uiPriority w:val="99"/>
    <w:rPr>
      <w:rFonts w:ascii="Calibri" w:hAnsi="Calibri"/>
      <w:sz w:val="24"/>
      <w:szCs w:val="24"/>
    </w:rPr>
  </w:style>
  <w:style w:type="paragraph" w:styleId="25">
    <w:name w:val="Title"/>
    <w:basedOn w:val="1"/>
    <w:next w:val="1"/>
    <w:link w:val="63"/>
    <w:autoRedefine/>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autoRedefine/>
    <w:qFormat/>
    <w:uiPriority w:val="0"/>
    <w:pPr>
      <w:ind w:firstLine="420" w:firstLineChars="100"/>
    </w:pPr>
    <w:rPr>
      <w:rFonts w:ascii="宋体"/>
      <w:kern w:val="0"/>
      <w:sz w:val="34"/>
    </w:rPr>
  </w:style>
  <w:style w:type="paragraph" w:styleId="27">
    <w:name w:val="Body Text First Indent 2"/>
    <w:basedOn w:val="11"/>
    <w:next w:val="20"/>
    <w:autoRedefine/>
    <w:unhideWhenUsed/>
    <w:qFormat/>
    <w:uiPriority w:val="99"/>
    <w:pPr>
      <w:ind w:firstLine="420" w:firstLineChars="200"/>
    </w:p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0"/>
  </w:style>
  <w:style w:type="character" w:styleId="32">
    <w:name w:val="FollowedHyperlink"/>
    <w:basedOn w:val="30"/>
    <w:autoRedefine/>
    <w:qFormat/>
    <w:uiPriority w:val="0"/>
    <w:rPr>
      <w:color w:val="000000"/>
      <w:u w:val="none"/>
    </w:rPr>
  </w:style>
  <w:style w:type="character" w:styleId="33">
    <w:name w:val="Emphasis"/>
    <w:basedOn w:val="30"/>
    <w:autoRedefine/>
    <w:qFormat/>
    <w:uiPriority w:val="0"/>
  </w:style>
  <w:style w:type="character" w:styleId="34">
    <w:name w:val="Hyperlink"/>
    <w:basedOn w:val="30"/>
    <w:autoRedefine/>
    <w:qFormat/>
    <w:uiPriority w:val="0"/>
    <w:rPr>
      <w:color w:val="000000"/>
      <w:u w:val="none"/>
    </w:rPr>
  </w:style>
  <w:style w:type="character" w:styleId="35">
    <w:name w:val="annotation reference"/>
    <w:basedOn w:val="30"/>
    <w:autoRedefine/>
    <w:unhideWhenUsed/>
    <w:qFormat/>
    <w:uiPriority w:val="99"/>
    <w:rPr>
      <w:sz w:val="21"/>
      <w:szCs w:val="21"/>
    </w:rPr>
  </w:style>
  <w:style w:type="character" w:customStyle="1" w:styleId="36">
    <w:name w:val="标题 1 Char"/>
    <w:basedOn w:val="30"/>
    <w:link w:val="2"/>
    <w:autoRedefine/>
    <w:qFormat/>
    <w:uiPriority w:val="9"/>
    <w:rPr>
      <w:rFonts w:ascii="宋体" w:hAnsi="宋体" w:cs="宋体"/>
      <w:b/>
      <w:bCs/>
      <w:kern w:val="36"/>
      <w:sz w:val="48"/>
      <w:szCs w:val="48"/>
    </w:rPr>
  </w:style>
  <w:style w:type="paragraph" w:customStyle="1" w:styleId="37">
    <w:name w:val="表格文字"/>
    <w:basedOn w:val="1"/>
    <w:next w:val="8"/>
    <w:autoRedefine/>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autoRedefine/>
    <w:qFormat/>
    <w:uiPriority w:val="0"/>
    <w:rPr>
      <w:kern w:val="2"/>
      <w:sz w:val="18"/>
      <w:szCs w:val="18"/>
    </w:rPr>
  </w:style>
  <w:style w:type="character" w:customStyle="1" w:styleId="40">
    <w:name w:val="页脚 Char"/>
    <w:basedOn w:val="30"/>
    <w:link w:val="17"/>
    <w:autoRedefine/>
    <w:qFormat/>
    <w:uiPriority w:val="0"/>
    <w:rPr>
      <w:kern w:val="2"/>
      <w:sz w:val="18"/>
      <w:szCs w:val="18"/>
    </w:rPr>
  </w:style>
  <w:style w:type="character" w:customStyle="1" w:styleId="41">
    <w:name w:val="red"/>
    <w:basedOn w:val="30"/>
    <w:autoRedefine/>
    <w:qFormat/>
    <w:uiPriority w:val="0"/>
    <w:rPr>
      <w:color w:val="CC0000"/>
    </w:rPr>
  </w:style>
  <w:style w:type="character" w:customStyle="1" w:styleId="42">
    <w:name w:val="red1"/>
    <w:basedOn w:val="30"/>
    <w:autoRedefine/>
    <w:qFormat/>
    <w:uiPriority w:val="0"/>
    <w:rPr>
      <w:color w:val="FF0000"/>
      <w:sz w:val="18"/>
      <w:szCs w:val="18"/>
    </w:rPr>
  </w:style>
  <w:style w:type="character" w:customStyle="1" w:styleId="43">
    <w:name w:val="red2"/>
    <w:basedOn w:val="30"/>
    <w:autoRedefine/>
    <w:qFormat/>
    <w:uiPriority w:val="0"/>
    <w:rPr>
      <w:color w:val="FF0000"/>
      <w:sz w:val="18"/>
      <w:szCs w:val="18"/>
    </w:rPr>
  </w:style>
  <w:style w:type="character" w:customStyle="1" w:styleId="44">
    <w:name w:val="red3"/>
    <w:basedOn w:val="30"/>
    <w:autoRedefine/>
    <w:qFormat/>
    <w:uiPriority w:val="0"/>
    <w:rPr>
      <w:color w:val="FF0000"/>
    </w:rPr>
  </w:style>
  <w:style w:type="character" w:customStyle="1" w:styleId="45">
    <w:name w:val="green"/>
    <w:basedOn w:val="30"/>
    <w:autoRedefine/>
    <w:qFormat/>
    <w:uiPriority w:val="0"/>
    <w:rPr>
      <w:color w:val="66AE00"/>
      <w:sz w:val="18"/>
      <w:szCs w:val="18"/>
    </w:rPr>
  </w:style>
  <w:style w:type="character" w:customStyle="1" w:styleId="46">
    <w:name w:val="green1"/>
    <w:basedOn w:val="30"/>
    <w:autoRedefine/>
    <w:qFormat/>
    <w:uiPriority w:val="0"/>
    <w:rPr>
      <w:color w:val="66AE00"/>
      <w:sz w:val="18"/>
      <w:szCs w:val="18"/>
    </w:rPr>
  </w:style>
  <w:style w:type="character" w:customStyle="1" w:styleId="47">
    <w:name w:val="hover25"/>
    <w:basedOn w:val="30"/>
    <w:autoRedefine/>
    <w:qFormat/>
    <w:uiPriority w:val="0"/>
  </w:style>
  <w:style w:type="character" w:customStyle="1" w:styleId="48">
    <w:name w:val="blue"/>
    <w:basedOn w:val="30"/>
    <w:autoRedefine/>
    <w:qFormat/>
    <w:uiPriority w:val="0"/>
    <w:rPr>
      <w:color w:val="0371C6"/>
      <w:sz w:val="21"/>
      <w:szCs w:val="21"/>
    </w:rPr>
  </w:style>
  <w:style w:type="character" w:customStyle="1" w:styleId="49">
    <w:name w:val="gb-jt"/>
    <w:basedOn w:val="30"/>
    <w:autoRedefine/>
    <w:qFormat/>
    <w:uiPriority w:val="0"/>
  </w:style>
  <w:style w:type="character" w:customStyle="1" w:styleId="50">
    <w:name w:val="right"/>
    <w:basedOn w:val="30"/>
    <w:autoRedefine/>
    <w:qFormat/>
    <w:uiPriority w:val="0"/>
    <w:rPr>
      <w:color w:val="999999"/>
      <w:sz w:val="18"/>
      <w:szCs w:val="18"/>
    </w:rPr>
  </w:style>
  <w:style w:type="paragraph" w:customStyle="1" w:styleId="51">
    <w:name w:val="列出段落1"/>
    <w:basedOn w:val="1"/>
    <w:autoRedefine/>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autoRedefine/>
    <w:qFormat/>
    <w:uiPriority w:val="0"/>
    <w:pPr>
      <w:spacing w:line="360" w:lineRule="auto"/>
      <w:ind w:firstLine="480" w:firstLineChars="200"/>
    </w:pPr>
    <w:rPr>
      <w:rFonts w:ascii="宋体"/>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autoRedefine/>
    <w:qFormat/>
    <w:uiPriority w:val="0"/>
    <w:rPr>
      <w:sz w:val="24"/>
    </w:rPr>
  </w:style>
  <w:style w:type="character" w:customStyle="1" w:styleId="56">
    <w:name w:val="批注文字 Char"/>
    <w:basedOn w:val="30"/>
    <w:link w:val="7"/>
    <w:autoRedefine/>
    <w:qFormat/>
    <w:uiPriority w:val="99"/>
    <w:rPr>
      <w:rFonts w:ascii="仿宋_GB2312" w:eastAsia="仿宋_GB2312" w:cs="仿宋_GB2312" w:hAnsiTheme="minorHAnsi"/>
      <w:sz w:val="28"/>
      <w:szCs w:val="28"/>
    </w:rPr>
  </w:style>
  <w:style w:type="character" w:customStyle="1" w:styleId="57">
    <w:name w:val="批注框文本 Char"/>
    <w:basedOn w:val="30"/>
    <w:link w:val="16"/>
    <w:autoRedefine/>
    <w:qFormat/>
    <w:uiPriority w:val="0"/>
    <w:rPr>
      <w:rFonts w:ascii="宋体" w:hAnsi="Times New Roman"/>
      <w:kern w:val="2"/>
      <w:sz w:val="18"/>
      <w:szCs w:val="18"/>
    </w:rPr>
  </w:style>
  <w:style w:type="character" w:customStyle="1" w:styleId="58">
    <w:name w:val="Unresolved Mention"/>
    <w:basedOn w:val="30"/>
    <w:autoRedefine/>
    <w:unhideWhenUsed/>
    <w:qFormat/>
    <w:uiPriority w:val="99"/>
    <w:rPr>
      <w:color w:val="605E5C"/>
      <w:shd w:val="clear" w:color="auto" w:fill="E1DFDD"/>
    </w:rPr>
  </w:style>
  <w:style w:type="character" w:customStyle="1" w:styleId="59">
    <w:name w:val="页脚 字符1"/>
    <w:autoRedefine/>
    <w:qFormat/>
    <w:uiPriority w:val="99"/>
    <w:rPr>
      <w:kern w:val="2"/>
      <w:sz w:val="18"/>
    </w:rPr>
  </w:style>
  <w:style w:type="character" w:customStyle="1" w:styleId="60">
    <w:name w:val="页眉 字符"/>
    <w:autoRedefine/>
    <w:qFormat/>
    <w:uiPriority w:val="99"/>
    <w:rPr>
      <w:kern w:val="2"/>
      <w:sz w:val="18"/>
    </w:rPr>
  </w:style>
  <w:style w:type="character" w:customStyle="1" w:styleId="61">
    <w:name w:val="标题 Char1"/>
    <w:link w:val="25"/>
    <w:autoRedefine/>
    <w:qFormat/>
    <w:uiPriority w:val="0"/>
    <w:rPr>
      <w:rFonts w:ascii="Cambria" w:hAnsi="Cambria"/>
      <w:b/>
      <w:bCs/>
      <w:kern w:val="2"/>
      <w:sz w:val="32"/>
      <w:szCs w:val="32"/>
    </w:rPr>
  </w:style>
  <w:style w:type="paragraph" w:customStyle="1" w:styleId="62">
    <w:name w:val="_Style 47"/>
    <w:basedOn w:val="1"/>
    <w:next w:val="1"/>
    <w:autoRedefine/>
    <w:qFormat/>
    <w:uiPriority w:val="39"/>
    <w:pPr>
      <w:widowControl w:val="0"/>
      <w:tabs>
        <w:tab w:val="left" w:pos="840"/>
        <w:tab w:val="right" w:leader="dot" w:pos="8296"/>
      </w:tabs>
    </w:pPr>
  </w:style>
  <w:style w:type="character" w:customStyle="1" w:styleId="63">
    <w:name w:val="标题 Char"/>
    <w:basedOn w:val="30"/>
    <w:link w:val="25"/>
    <w:autoRedefine/>
    <w:qFormat/>
    <w:uiPriority w:val="0"/>
    <w:rPr>
      <w:rFonts w:asciiTheme="majorHAnsi" w:hAnsiTheme="majorHAnsi" w:cstheme="majorBidi"/>
      <w:b/>
      <w:bCs/>
      <w:kern w:val="2"/>
      <w:sz w:val="32"/>
      <w:szCs w:val="32"/>
    </w:rPr>
  </w:style>
  <w:style w:type="paragraph" w:customStyle="1" w:styleId="64">
    <w:name w:val="È±Ê¡ÎÄ±¾"/>
    <w:basedOn w:val="1"/>
    <w:autoRedefine/>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autoRedefine/>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autoRedefine/>
    <w:qFormat/>
    <w:uiPriority w:val="72"/>
    <w:pPr>
      <w:widowControl w:val="0"/>
      <w:ind w:left="720"/>
      <w:contextualSpacing/>
    </w:pPr>
    <w:rPr>
      <w:szCs w:val="24"/>
    </w:rPr>
  </w:style>
  <w:style w:type="paragraph" w:customStyle="1" w:styleId="67">
    <w:name w:val="UserStyle_33"/>
    <w:basedOn w:val="1"/>
    <w:autoRedefine/>
    <w:qFormat/>
    <w:uiPriority w:val="0"/>
    <w:pPr>
      <w:textAlignment w:val="baseline"/>
    </w:pPr>
    <w:rPr>
      <w:sz w:val="24"/>
      <w:szCs w:val="24"/>
    </w:rPr>
  </w:style>
  <w:style w:type="paragraph" w:customStyle="1" w:styleId="68">
    <w:name w:val="！正文"/>
    <w:basedOn w:val="1"/>
    <w:autoRedefine/>
    <w:qFormat/>
    <w:uiPriority w:val="0"/>
    <w:pPr>
      <w:spacing w:line="360" w:lineRule="auto"/>
    </w:pPr>
    <w:rPr>
      <w:kern w:val="0"/>
    </w:rPr>
  </w:style>
  <w:style w:type="paragraph" w:customStyle="1" w:styleId="69">
    <w:name w:val="正文内容"/>
    <w:basedOn w:val="1"/>
    <w:autoRedefine/>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autoRedefine/>
    <w:qFormat/>
    <w:uiPriority w:val="99"/>
    <w:pPr>
      <w:ind w:firstLine="420" w:firstLineChars="200"/>
    </w:pPr>
  </w:style>
  <w:style w:type="paragraph" w:customStyle="1" w:styleId="71">
    <w:name w:val="样式 首行缩进:  0.74 厘米"/>
    <w:basedOn w:val="1"/>
    <w:autoRedefine/>
    <w:qFormat/>
    <w:uiPriority w:val="0"/>
    <w:pPr>
      <w:ind w:firstLine="420"/>
    </w:pPr>
    <w:rPr>
      <w:rFonts w:ascii="Arial" w:hAnsi="Arial" w:eastAsia="仿宋_GB2312" w:cs="Arial"/>
      <w:bCs/>
      <w:sz w:val="28"/>
      <w:szCs w:val="28"/>
    </w:rPr>
  </w:style>
  <w:style w:type="character" w:customStyle="1" w:styleId="72">
    <w:name w:val="NormalCharacter"/>
    <w:basedOn w:val="30"/>
    <w:autoRedefine/>
    <w:qFormat/>
    <w:uiPriority w:val="0"/>
  </w:style>
  <w:style w:type="paragraph" w:customStyle="1" w:styleId="73">
    <w:name w:val="Table Paragraph"/>
    <w:basedOn w:val="1"/>
    <w:autoRedefine/>
    <w:unhideWhenUsed/>
    <w:qFormat/>
    <w:uiPriority w:val="1"/>
    <w:rPr>
      <w:rFonts w:hint="eastAsia" w:hAnsi="宋体"/>
      <w:lang w:val="zh-CN"/>
    </w:rPr>
  </w:style>
  <w:style w:type="paragraph" w:customStyle="1" w:styleId="74">
    <w:name w:val="cjk"/>
    <w:autoRedefine/>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23</Pages>
  <Words>4326</Words>
  <Characters>4586</Characters>
  <Lines>30</Lines>
  <Paragraphs>63</Paragraphs>
  <TotalTime>9</TotalTime>
  <ScaleCrop>false</ScaleCrop>
  <LinksUpToDate>false</LinksUpToDate>
  <CharactersWithSpaces>4707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湖泊</cp:lastModifiedBy>
  <cp:lastPrinted>2024-03-13T02:24:00Z</cp:lastPrinted>
  <dcterms:modified xsi:type="dcterms:W3CDTF">2025-12-15T10:26:22Z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A59B20BF8D97467DA71024019254ED7C_13</vt:lpwstr>
  </property>
  <property fmtid="{D5CDD505-2E9C-101B-9397-08002B2CF9AE}" pid="4" name="KSOTemplateDocerSaveRecord">
    <vt:lpwstr>eyJoZGlkIjoiOThmMTIyMzg2YTQ0MDg5Nzg1NmE3ZDZiOGVjYTI0NjYiLCJ1c2VySWQiOiIyODkwODY3ODIifQ==</vt:lpwstr>
  </property>
</Properties>
</file>