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E422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报价单</w:t>
      </w:r>
    </w:p>
    <w:p w14:paraId="03B743DD">
      <w:pPr>
        <w:spacing w:line="560" w:lineRule="exact"/>
        <w:ind w:firstLine="640" w:firstLineChars="200"/>
        <w:jc w:val="both"/>
        <w:rPr>
          <w:rFonts w:hint="default" w:ascii="Times New Roman" w:hAnsi="Times New Roman" w:eastAsia="仿宋_GB2312" w:cs="Times New Roman"/>
          <w:color w:val="auto"/>
          <w:sz w:val="32"/>
          <w:szCs w:val="32"/>
          <w:lang w:val="en-US" w:eastAsia="zh-CN"/>
        </w:rPr>
      </w:pPr>
    </w:p>
    <w:tbl>
      <w:tblPr>
        <w:tblStyle w:val="10"/>
        <w:tblW w:w="8683" w:type="dxa"/>
        <w:tblInd w:w="0" w:type="dxa"/>
        <w:tblLayout w:type="fixed"/>
        <w:tblCellMar>
          <w:top w:w="15" w:type="dxa"/>
          <w:left w:w="15" w:type="dxa"/>
          <w:bottom w:w="15" w:type="dxa"/>
          <w:right w:w="15" w:type="dxa"/>
        </w:tblCellMar>
      </w:tblPr>
      <w:tblGrid>
        <w:gridCol w:w="3328"/>
        <w:gridCol w:w="5355"/>
      </w:tblGrid>
      <w:tr w14:paraId="2A338B09">
        <w:tblPrEx>
          <w:tblCellMar>
            <w:top w:w="15" w:type="dxa"/>
            <w:left w:w="15" w:type="dxa"/>
            <w:bottom w:w="15" w:type="dxa"/>
            <w:right w:w="15" w:type="dxa"/>
          </w:tblCellMar>
        </w:tblPrEx>
        <w:trPr>
          <w:trHeight w:val="2065" w:hRule="exact"/>
        </w:trPr>
        <w:tc>
          <w:tcPr>
            <w:tcW w:w="3328" w:type="dxa"/>
            <w:tcBorders>
              <w:top w:val="single" w:color="000000" w:sz="4" w:space="0"/>
              <w:left w:val="single" w:color="000000" w:sz="4" w:space="0"/>
              <w:bottom w:val="single" w:color="000000" w:sz="4" w:space="0"/>
              <w:right w:val="single" w:color="000000" w:sz="4" w:space="0"/>
            </w:tcBorders>
            <w:noWrap w:val="0"/>
            <w:vAlign w:val="center"/>
          </w:tcPr>
          <w:p w14:paraId="5B985805">
            <w:pPr>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355" w:type="dxa"/>
            <w:tcBorders>
              <w:top w:val="single" w:color="000000" w:sz="4" w:space="0"/>
              <w:left w:val="single" w:color="000000" w:sz="4" w:space="0"/>
              <w:bottom w:val="single" w:color="000000" w:sz="4" w:space="0"/>
              <w:right w:val="single" w:color="000000" w:sz="4" w:space="0"/>
            </w:tcBorders>
            <w:noWrap w:val="0"/>
            <w:vAlign w:val="bottom"/>
          </w:tcPr>
          <w:p w14:paraId="72A7ED7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许昌市胖东来生活服务圈城市公共空间功能提升连通工程-许昌市新兴路快速化提升改造项目初步设计方案经济性审查意见编制服务</w:t>
            </w:r>
          </w:p>
          <w:p w14:paraId="1BDD1886">
            <w:pPr>
              <w:spacing w:line="480" w:lineRule="exact"/>
              <w:jc w:val="left"/>
              <w:textAlignment w:val="center"/>
              <w:rPr>
                <w:rFonts w:hint="default" w:ascii="Times New Roman" w:hAnsi="Times New Roman" w:eastAsia="仿宋_GB2312" w:cs="Times New Roman"/>
                <w:bCs/>
                <w:color w:val="000000"/>
                <w:sz w:val="30"/>
                <w:szCs w:val="30"/>
              </w:rPr>
            </w:pPr>
          </w:p>
        </w:tc>
      </w:tr>
      <w:tr w14:paraId="0E1F5A5E">
        <w:tblPrEx>
          <w:tblCellMar>
            <w:top w:w="15" w:type="dxa"/>
            <w:left w:w="15" w:type="dxa"/>
            <w:bottom w:w="15" w:type="dxa"/>
            <w:right w:w="15" w:type="dxa"/>
          </w:tblCellMar>
        </w:tblPrEx>
        <w:trPr>
          <w:trHeight w:val="1474" w:hRule="exact"/>
        </w:trPr>
        <w:tc>
          <w:tcPr>
            <w:tcW w:w="3328" w:type="dxa"/>
            <w:tcBorders>
              <w:top w:val="single" w:color="000000" w:sz="4" w:space="0"/>
              <w:left w:val="single" w:color="000000" w:sz="4" w:space="0"/>
              <w:right w:val="single" w:color="000000" w:sz="4" w:space="0"/>
            </w:tcBorders>
            <w:noWrap w:val="0"/>
            <w:vAlign w:val="center"/>
          </w:tcPr>
          <w:p w14:paraId="4196BC61">
            <w:pPr>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37BF52D5">
            <w:pPr>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（公司名称***）</w:t>
            </w:r>
          </w:p>
        </w:tc>
      </w:tr>
      <w:tr w14:paraId="3511FEE5">
        <w:tblPrEx>
          <w:tblCellMar>
            <w:top w:w="15" w:type="dxa"/>
            <w:left w:w="15" w:type="dxa"/>
            <w:bottom w:w="15" w:type="dxa"/>
            <w:right w:w="15" w:type="dxa"/>
          </w:tblCellMar>
        </w:tblPrEx>
        <w:trPr>
          <w:trHeight w:val="1474" w:hRule="exact"/>
        </w:trPr>
        <w:tc>
          <w:tcPr>
            <w:tcW w:w="3328" w:type="dxa"/>
            <w:tcBorders>
              <w:top w:val="single" w:color="000000" w:sz="4" w:space="0"/>
              <w:left w:val="single" w:color="000000" w:sz="4" w:space="0"/>
              <w:bottom w:val="single" w:color="000000" w:sz="4" w:space="0"/>
              <w:right w:val="single" w:color="000000" w:sz="4" w:space="0"/>
            </w:tcBorders>
            <w:noWrap w:val="0"/>
            <w:vAlign w:val="center"/>
          </w:tcPr>
          <w:p w14:paraId="3EC5B582">
            <w:pPr>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1D8D540E">
            <w:pPr>
              <w:spacing w:line="560" w:lineRule="exact"/>
              <w:jc w:val="center"/>
              <w:textAlignment w:val="center"/>
              <w:rPr>
                <w:rFonts w:hint="default" w:ascii="Times New Roman" w:hAnsi="Times New Roman" w:eastAsia="仿宋_GB2312" w:cs="Times New Roman"/>
                <w:b/>
                <w:color w:val="000000"/>
                <w:sz w:val="32"/>
                <w:szCs w:val="32"/>
              </w:rPr>
            </w:pPr>
          </w:p>
        </w:tc>
      </w:tr>
      <w:tr w14:paraId="2A179891">
        <w:tblPrEx>
          <w:tblCellMar>
            <w:top w:w="15" w:type="dxa"/>
            <w:left w:w="15" w:type="dxa"/>
            <w:bottom w:w="15" w:type="dxa"/>
            <w:right w:w="15" w:type="dxa"/>
          </w:tblCellMar>
        </w:tblPrEx>
        <w:trPr>
          <w:trHeight w:val="1474" w:hRule="exact"/>
        </w:trPr>
        <w:tc>
          <w:tcPr>
            <w:tcW w:w="3328" w:type="dxa"/>
            <w:tcBorders>
              <w:top w:val="single" w:color="000000" w:sz="4" w:space="0"/>
              <w:left w:val="single" w:color="000000" w:sz="4" w:space="0"/>
              <w:bottom w:val="single" w:color="000000" w:sz="4" w:space="0"/>
              <w:right w:val="single" w:color="000000" w:sz="4" w:space="0"/>
            </w:tcBorders>
            <w:noWrap w:val="0"/>
            <w:vAlign w:val="center"/>
          </w:tcPr>
          <w:p w14:paraId="46349E29">
            <w:pPr>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7A64A0FC">
            <w:pPr>
              <w:spacing w:line="560" w:lineRule="exact"/>
              <w:jc w:val="center"/>
              <w:textAlignment w:val="center"/>
              <w:rPr>
                <w:rFonts w:hint="default" w:ascii="Times New Roman" w:hAnsi="Times New Roman" w:eastAsia="仿宋_GB2312" w:cs="Times New Roman"/>
                <w:b/>
                <w:color w:val="000000"/>
                <w:sz w:val="32"/>
                <w:szCs w:val="32"/>
              </w:rPr>
            </w:pPr>
          </w:p>
        </w:tc>
      </w:tr>
      <w:tr w14:paraId="78C999E8">
        <w:tblPrEx>
          <w:tblCellMar>
            <w:top w:w="15" w:type="dxa"/>
            <w:left w:w="15" w:type="dxa"/>
            <w:bottom w:w="15" w:type="dxa"/>
            <w:right w:w="15" w:type="dxa"/>
          </w:tblCellMar>
        </w:tblPrEx>
        <w:trPr>
          <w:trHeight w:val="1474" w:hRule="exact"/>
        </w:trPr>
        <w:tc>
          <w:tcPr>
            <w:tcW w:w="3328" w:type="dxa"/>
            <w:tcBorders>
              <w:top w:val="single" w:color="000000" w:sz="4" w:space="0"/>
              <w:left w:val="single" w:color="000000" w:sz="4" w:space="0"/>
              <w:bottom w:val="single" w:color="000000" w:sz="4" w:space="0"/>
              <w:right w:val="single" w:color="000000" w:sz="4" w:space="0"/>
            </w:tcBorders>
            <w:noWrap w:val="0"/>
            <w:vAlign w:val="center"/>
          </w:tcPr>
          <w:p w14:paraId="118BD11F">
            <w:pPr>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项目工作内容</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30BB4FC2">
            <w:pPr>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6A9146D3">
        <w:tblPrEx>
          <w:tblCellMar>
            <w:top w:w="15" w:type="dxa"/>
            <w:left w:w="15" w:type="dxa"/>
            <w:bottom w:w="15" w:type="dxa"/>
            <w:right w:w="15" w:type="dxa"/>
          </w:tblCellMar>
        </w:tblPrEx>
        <w:trPr>
          <w:trHeight w:val="1999" w:hRule="exact"/>
        </w:trPr>
        <w:tc>
          <w:tcPr>
            <w:tcW w:w="3328" w:type="dxa"/>
            <w:tcBorders>
              <w:top w:val="single" w:color="000000" w:sz="4" w:space="0"/>
              <w:left w:val="single" w:color="000000" w:sz="4" w:space="0"/>
              <w:bottom w:val="single" w:color="000000" w:sz="4" w:space="0"/>
              <w:right w:val="single" w:color="000000" w:sz="4" w:space="0"/>
            </w:tcBorders>
            <w:noWrap w:val="0"/>
            <w:vAlign w:val="center"/>
          </w:tcPr>
          <w:p w14:paraId="6540A703">
            <w:pPr>
              <w:pStyle w:val="2"/>
              <w:numPr>
                <w:ilvl w:val="0"/>
                <w:numId w:val="0"/>
              </w:numPr>
              <w:jc w:val="center"/>
              <w:rPr>
                <w:rFonts w:hint="default" w:ascii="Times New Roman" w:hAnsi="Times New Roman" w:eastAsia="仿宋_GB2312" w:cs="Times New Roman"/>
              </w:rPr>
            </w:pPr>
            <w:r>
              <w:rPr>
                <w:rFonts w:hint="default" w:ascii="Times New Roman" w:hAnsi="Times New Roman" w:eastAsia="仿宋_GB2312" w:cs="Times New Roman"/>
                <w:b/>
                <w:color w:val="000000"/>
                <w:kern w:val="0"/>
                <w:sz w:val="32"/>
                <w:szCs w:val="32"/>
                <w:lang w:bidi="ar"/>
              </w:rPr>
              <w:t>报价</w:t>
            </w:r>
          </w:p>
          <w:p w14:paraId="11B4CB91">
            <w:pPr>
              <w:spacing w:line="560" w:lineRule="exact"/>
              <w:jc w:val="center"/>
              <w:textAlignment w:val="center"/>
              <w:rPr>
                <w:rFonts w:hint="default" w:ascii="Times New Roman" w:hAnsi="Times New Roman" w:eastAsia="仿宋_GB2312" w:cs="Times New Roman"/>
                <w:b/>
                <w:color w:val="000000"/>
                <w:kern w:val="0"/>
                <w:sz w:val="32"/>
                <w:szCs w:val="32"/>
                <w:lang w:bidi="ar"/>
              </w:rPr>
            </w:pP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3028C069">
            <w:pPr>
              <w:spacing w:line="560" w:lineRule="exact"/>
              <w:jc w:val="both"/>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color w:val="auto"/>
                <w:sz w:val="32"/>
                <w:szCs w:val="32"/>
                <w:lang w:val="en-US" w:eastAsia="zh-CN"/>
              </w:rPr>
              <w:t>压</w:t>
            </w:r>
            <w:r>
              <w:rPr>
                <w:rFonts w:hint="default" w:ascii="Times New Roman" w:hAnsi="Times New Roman" w:eastAsia="仿宋_GB2312" w:cs="Times New Roman"/>
                <w:color w:val="auto"/>
                <w:sz w:val="32"/>
                <w:szCs w:val="32"/>
                <w:lang w:val="en-US" w:eastAsia="zh-CN"/>
              </w:rPr>
              <w:t>减金额占工程造价的比例</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设计单位委托服务费</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比选费率</w:t>
            </w:r>
            <w:r>
              <w:rPr>
                <w:rFonts w:hint="default" w:ascii="Times New Roman" w:hAnsi="Times New Roman" w:eastAsia="仿宋_GB2312" w:cs="Times New Roman"/>
                <w:color w:val="auto"/>
                <w:sz w:val="32"/>
                <w:szCs w:val="32"/>
                <w:lang w:val="en-US" w:eastAsia="zh-CN"/>
              </w:rPr>
              <w:t>，需填报）</w:t>
            </w:r>
          </w:p>
        </w:tc>
      </w:tr>
    </w:tbl>
    <w:p w14:paraId="1EEF9510">
      <w:pPr>
        <w:pStyle w:val="2"/>
        <w:numPr>
          <w:ilvl w:val="0"/>
          <w:numId w:val="0"/>
        </w:numPr>
        <w:wordWrap w:val="0"/>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年     月     日 </w:t>
      </w:r>
    </w:p>
    <w:p w14:paraId="785158F7">
      <w:pPr>
        <w:rPr>
          <w:rFonts w:hint="default" w:ascii="Times New Roman" w:hAnsi="Times New Roman" w:eastAsia="仿宋_GB2312" w:cs="Times New Roman"/>
          <w:sz w:val="32"/>
          <w:szCs w:val="32"/>
        </w:rPr>
      </w:pPr>
    </w:p>
    <w:p w14:paraId="79AEC72F">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仿宋_GB2312" w:cs="Times New Roman"/>
          <w:sz w:val="32"/>
          <w:szCs w:val="32"/>
        </w:rPr>
        <w:t>附件2</w:t>
      </w:r>
    </w:p>
    <w:p w14:paraId="70B39C88">
      <w:pPr>
        <w:pStyle w:val="7"/>
        <w:contextualSpacing/>
        <w:jc w:val="center"/>
        <w:rPr>
          <w:rFonts w:hint="default" w:ascii="Times New Roman" w:hAnsi="Times New Roman" w:eastAsia="方正小标宋简体" w:cs="Times New Roman"/>
          <w:bCs/>
          <w:sz w:val="44"/>
          <w:szCs w:val="44"/>
          <w:lang w:val="zh-CN"/>
        </w:rPr>
      </w:pPr>
      <w:r>
        <w:rPr>
          <w:rFonts w:hint="default" w:ascii="Times New Roman" w:hAnsi="Times New Roman" w:eastAsia="方正小标宋简体" w:cs="Times New Roman"/>
          <w:bCs/>
          <w:sz w:val="44"/>
          <w:szCs w:val="44"/>
          <w:lang w:val="zh-CN"/>
        </w:rPr>
        <w:t>评标标准</w:t>
      </w:r>
    </w:p>
    <w:p w14:paraId="31AFC0FA">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一、资格审查</w:t>
      </w:r>
    </w:p>
    <w:p w14:paraId="31FEE9AF">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FF0000"/>
          <w:sz w:val="32"/>
          <w:szCs w:val="32"/>
          <w:lang w:val="zh-CN"/>
        </w:rPr>
      </w:pPr>
      <w:r>
        <w:rPr>
          <w:rFonts w:hint="default" w:ascii="Times New Roman" w:hAnsi="Times New Roman" w:eastAsia="仿宋_GB2312" w:cs="Times New Roman"/>
          <w:sz w:val="32"/>
          <w:szCs w:val="32"/>
        </w:rPr>
        <w:t>评审小组对申请人资格进行检查。</w:t>
      </w:r>
      <w:r>
        <w:rPr>
          <w:rFonts w:hint="default" w:ascii="Times New Roman" w:hAnsi="Times New Roman" w:eastAsia="仿宋_GB2312" w:cs="Times New Roman"/>
          <w:sz w:val="32"/>
          <w:szCs w:val="32"/>
          <w:lang w:val="zh-CN"/>
        </w:rPr>
        <w:t>确定符合资格的</w:t>
      </w:r>
      <w:r>
        <w:rPr>
          <w:rFonts w:hint="default" w:ascii="Times New Roman" w:hAnsi="Times New Roman" w:eastAsia="仿宋_GB2312" w:cs="Times New Roman"/>
          <w:sz w:val="32"/>
          <w:szCs w:val="32"/>
        </w:rPr>
        <w:t>申请</w:t>
      </w:r>
      <w:r>
        <w:rPr>
          <w:rFonts w:hint="default" w:ascii="Times New Roman" w:hAnsi="Times New Roman" w:eastAsia="仿宋_GB2312" w:cs="Times New Roman"/>
          <w:sz w:val="32"/>
          <w:szCs w:val="32"/>
          <w:lang w:val="zh-CN"/>
        </w:rPr>
        <w:t>人不少于3家后对投标文件进行符合性审查，</w:t>
      </w:r>
      <w:r>
        <w:rPr>
          <w:rFonts w:hint="default" w:ascii="Times New Roman" w:hAnsi="Times New Roman" w:eastAsia="仿宋_GB2312" w:cs="Times New Roman"/>
          <w:sz w:val="32"/>
          <w:szCs w:val="32"/>
        </w:rPr>
        <w:t>少于三家则本次评标过程无效</w:t>
      </w:r>
      <w:r>
        <w:rPr>
          <w:rFonts w:hint="default" w:ascii="Times New Roman" w:hAnsi="Times New Roman" w:eastAsia="仿宋_GB2312" w:cs="Times New Roman"/>
          <w:sz w:val="32"/>
          <w:szCs w:val="32"/>
          <w:lang w:val="zh-CN"/>
        </w:rPr>
        <w:t>。</w:t>
      </w:r>
    </w:p>
    <w:p w14:paraId="7C91820E">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二、评审</w:t>
      </w:r>
    </w:p>
    <w:p w14:paraId="08DAB905">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（一）评审方法</w:t>
      </w:r>
    </w:p>
    <w:p w14:paraId="6E4A2316">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本次招标采用综合评分法，总分为100分，其中报价分</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t>分，服务方案</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val="en-US" w:eastAsia="zh-CN"/>
        </w:rPr>
        <w:t>商务部分40分（包含</w:t>
      </w:r>
      <w:r>
        <w:rPr>
          <w:rFonts w:hint="default" w:ascii="Times New Roman" w:hAnsi="Times New Roman" w:eastAsia="仿宋_GB2312" w:cs="Times New Roman"/>
          <w:sz w:val="32"/>
          <w:szCs w:val="32"/>
        </w:rPr>
        <w:t>企业业绩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管理机构、企业实力、荣誉等）。</w:t>
      </w:r>
    </w:p>
    <w:p w14:paraId="37834421">
      <w:pPr>
        <w:keepNext w:val="0"/>
        <w:keepLines w:val="0"/>
        <w:pageBreakBefore w:val="0"/>
        <w:widowControl w:val="0"/>
        <w:kinsoku/>
        <w:wordWrap/>
        <w:overflowPunct/>
        <w:topLinePunct w:val="0"/>
        <w:autoSpaceDE/>
        <w:autoSpaceDN/>
        <w:bidi w:val="0"/>
        <w:snapToGrid/>
        <w:spacing w:line="560" w:lineRule="exact"/>
        <w:ind w:firstLine="643" w:firstLineChars="200"/>
        <w:rPr>
          <w:rFonts w:hint="default" w:ascii="Times New Roman" w:hAnsi="Times New Roman" w:cs="Times New Roman"/>
          <w:lang w:val="zh-CN"/>
        </w:rPr>
      </w:pP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b/>
          <w:bCs/>
          <w:sz w:val="32"/>
          <w:szCs w:val="32"/>
          <w:lang w:val="zh-CN"/>
        </w:rPr>
        <w:t>）评分办法</w:t>
      </w:r>
    </w:p>
    <w:p w14:paraId="3FD0B9FC">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企业报价（30分）</w:t>
      </w:r>
    </w:p>
    <w:p w14:paraId="2729C0C5">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报价得分=评标基准价/报价*30</w:t>
      </w:r>
    </w:p>
    <w:p w14:paraId="1248D49F">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最低投标报价为评标基准价，报价</w:t>
      </w:r>
      <w:r>
        <w:rPr>
          <w:rFonts w:hint="default" w:ascii="Times New Roman" w:hAnsi="Times New Roman" w:eastAsia="仿宋_GB2312" w:cs="Times New Roman"/>
          <w:sz w:val="32"/>
          <w:szCs w:val="32"/>
          <w:lang w:eastAsia="zh-CN"/>
        </w:rPr>
        <w:t>高于</w:t>
      </w:r>
      <w:r>
        <w:rPr>
          <w:rFonts w:hint="default" w:ascii="Times New Roman" w:hAnsi="Times New Roman" w:eastAsia="仿宋_GB2312" w:cs="Times New Roman"/>
          <w:sz w:val="32"/>
          <w:szCs w:val="32"/>
          <w:lang w:val="en-US" w:eastAsia="zh-CN"/>
        </w:rPr>
        <w:t>压</w:t>
      </w:r>
      <w:r>
        <w:rPr>
          <w:rFonts w:hint="default" w:ascii="Times New Roman" w:hAnsi="Times New Roman" w:eastAsia="仿宋_GB2312" w:cs="Times New Roman"/>
          <w:color w:val="auto"/>
          <w:sz w:val="32"/>
          <w:szCs w:val="32"/>
          <w:lang w:val="en-US" w:eastAsia="zh-CN"/>
        </w:rPr>
        <w:t>减金额占工程造价的比例</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lang w:val="en-US" w:eastAsia="zh-CN"/>
        </w:rPr>
        <w:t>设计单位委托服务费</w:t>
      </w:r>
      <w:r>
        <w:rPr>
          <w:rFonts w:hint="default" w:ascii="Times New Roman" w:hAnsi="Times New Roman" w:eastAsia="仿宋_GB2312" w:cs="Times New Roman"/>
          <w:color w:val="auto"/>
          <w:sz w:val="32"/>
          <w:szCs w:val="32"/>
          <w:lang w:val="en-US" w:eastAsia="zh-CN"/>
        </w:rPr>
        <w:t>乘积的</w:t>
      </w:r>
      <w:r>
        <w:rPr>
          <w:rFonts w:hint="default" w:ascii="Times New Roman" w:hAnsi="Times New Roman" w:eastAsia="仿宋_GB2312" w:cs="Times New Roman"/>
          <w:sz w:val="32"/>
          <w:szCs w:val="32"/>
        </w:rPr>
        <w:t>为无效报价。</w:t>
      </w:r>
    </w:p>
    <w:p w14:paraId="735C95B9">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服务方案</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0分）</w:t>
      </w:r>
      <w:r>
        <w:rPr>
          <w:rFonts w:hint="default" w:ascii="Times New Roman" w:hAnsi="Times New Roman" w:eastAsia="仿宋_GB2312" w:cs="Times New Roman"/>
          <w:b/>
          <w:bCs/>
          <w:sz w:val="32"/>
          <w:szCs w:val="32"/>
          <w:lang w:val="en-US" w:eastAsia="zh-CN"/>
        </w:rPr>
        <w:t xml:space="preserve"> </w:t>
      </w:r>
    </w:p>
    <w:p w14:paraId="345FC0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）阐述</w:t>
      </w:r>
      <w:r>
        <w:rPr>
          <w:rFonts w:hint="default" w:ascii="Times New Roman" w:hAnsi="Times New Roman" w:eastAsia="仿宋_GB2312" w:cs="Times New Roman"/>
          <w:b w:val="0"/>
          <w:bCs w:val="0"/>
          <w:sz w:val="32"/>
          <w:szCs w:val="32"/>
          <w:lang w:val="en-US" w:eastAsia="zh-CN"/>
        </w:rPr>
        <w:t>项目初步设计方案复审</w:t>
      </w:r>
      <w:r>
        <w:rPr>
          <w:rFonts w:hint="default" w:ascii="Times New Roman" w:hAnsi="Times New Roman" w:eastAsia="仿宋_GB2312" w:cs="Times New Roman"/>
          <w:b w:val="0"/>
          <w:bCs w:val="0"/>
          <w:sz w:val="32"/>
          <w:szCs w:val="32"/>
          <w:lang w:eastAsia="zh-CN"/>
        </w:rPr>
        <w:t>的工作内容、工作重点、工作方法和工作流程（1、对本项目理解深入、思路清晰、</w:t>
      </w:r>
      <w:r>
        <w:rPr>
          <w:rFonts w:hint="default" w:ascii="Times New Roman" w:hAnsi="Times New Roman" w:eastAsia="仿宋_GB2312" w:cs="Times New Roman"/>
          <w:b w:val="0"/>
          <w:bCs w:val="0"/>
          <w:sz w:val="32"/>
          <w:szCs w:val="32"/>
          <w:lang w:val="en-US" w:eastAsia="zh-CN"/>
        </w:rPr>
        <w:t>设计</w:t>
      </w:r>
      <w:r>
        <w:rPr>
          <w:rFonts w:hint="default" w:ascii="Times New Roman" w:hAnsi="Times New Roman" w:eastAsia="仿宋_GB2312" w:cs="Times New Roman"/>
          <w:b w:val="0"/>
          <w:bCs w:val="0"/>
          <w:sz w:val="32"/>
          <w:szCs w:val="32"/>
          <w:lang w:eastAsia="zh-CN"/>
        </w:rPr>
        <w:t>方案可行性强得</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lang w:eastAsia="zh-CN"/>
        </w:rPr>
        <w:t>1</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分；2、对本项目理解较为深入、思路较为清晰、方案基本可行得</w:t>
      </w:r>
      <w:r>
        <w:rPr>
          <w:rFonts w:hint="default" w:ascii="Times New Roman" w:hAnsi="Times New Roman" w:eastAsia="仿宋_GB2312" w:cs="Times New Roman"/>
          <w:b w:val="0"/>
          <w:bCs w:val="0"/>
          <w:sz w:val="32"/>
          <w:szCs w:val="32"/>
          <w:lang w:val="en-US" w:eastAsia="zh-CN"/>
        </w:rPr>
        <w:t>6-10</w:t>
      </w:r>
      <w:r>
        <w:rPr>
          <w:rFonts w:hint="default" w:ascii="Times New Roman" w:hAnsi="Times New Roman" w:eastAsia="仿宋_GB2312" w:cs="Times New Roman"/>
          <w:b w:val="0"/>
          <w:bCs w:val="0"/>
          <w:sz w:val="32"/>
          <w:szCs w:val="32"/>
          <w:lang w:eastAsia="zh-CN"/>
        </w:rPr>
        <w:t>分；3、对本项目有一定的理解、思路一般、方案针对性和可操作性一般得</w:t>
      </w:r>
      <w:r>
        <w:rPr>
          <w:rFonts w:hint="default" w:ascii="Times New Roman" w:hAnsi="Times New Roman" w:eastAsia="仿宋_GB2312" w:cs="Times New Roman"/>
          <w:b w:val="0"/>
          <w:bCs w:val="0"/>
          <w:sz w:val="32"/>
          <w:szCs w:val="32"/>
          <w:lang w:val="en-US" w:eastAsia="zh-CN"/>
        </w:rPr>
        <w:t>1-5</w:t>
      </w:r>
      <w:r>
        <w:rPr>
          <w:rFonts w:hint="default" w:ascii="Times New Roman" w:hAnsi="Times New Roman" w:eastAsia="仿宋_GB2312" w:cs="Times New Roman"/>
          <w:b w:val="0"/>
          <w:bCs w:val="0"/>
          <w:sz w:val="32"/>
          <w:szCs w:val="32"/>
          <w:lang w:eastAsia="zh-CN"/>
        </w:rPr>
        <w:t>分；</w:t>
      </w:r>
      <w:r>
        <w:rPr>
          <w:rFonts w:hint="default" w:ascii="Times New Roman" w:hAnsi="Times New Roman" w:eastAsia="仿宋_GB2312" w:cs="Times New Roman"/>
          <w:b w:val="0"/>
          <w:bCs w:val="0"/>
          <w:sz w:val="32"/>
          <w:szCs w:val="32"/>
          <w:lang w:val="en-US" w:eastAsia="zh-CN"/>
        </w:rPr>
        <w:t>4、没有不得分</w:t>
      </w:r>
      <w:r>
        <w:rPr>
          <w:rFonts w:hint="default" w:ascii="Times New Roman" w:hAnsi="Times New Roman" w:eastAsia="仿宋_GB2312" w:cs="Times New Roman"/>
          <w:b w:val="0"/>
          <w:bCs w:val="0"/>
          <w:sz w:val="32"/>
          <w:szCs w:val="32"/>
          <w:lang w:eastAsia="zh-CN"/>
        </w:rPr>
        <w:t>）；</w:t>
      </w:r>
    </w:p>
    <w:p w14:paraId="5E35CC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阐述</w:t>
      </w:r>
      <w:r>
        <w:rPr>
          <w:rFonts w:hint="default" w:ascii="Times New Roman" w:hAnsi="Times New Roman" w:eastAsia="仿宋_GB2312" w:cs="Times New Roman"/>
          <w:b w:val="0"/>
          <w:bCs w:val="0"/>
          <w:sz w:val="32"/>
          <w:szCs w:val="32"/>
          <w:lang w:val="en-US" w:eastAsia="zh-CN"/>
        </w:rPr>
        <w:t>项目初步设计方案复审</w:t>
      </w:r>
      <w:r>
        <w:rPr>
          <w:rFonts w:hint="default" w:ascii="Times New Roman" w:hAnsi="Times New Roman" w:eastAsia="仿宋_GB2312" w:cs="Times New Roman"/>
          <w:b w:val="0"/>
          <w:bCs w:val="0"/>
          <w:sz w:val="32"/>
          <w:szCs w:val="32"/>
        </w:rPr>
        <w:t>过程中的质量承诺及保证措施（</w:t>
      </w:r>
      <w:r>
        <w:rPr>
          <w:rFonts w:hint="default" w:ascii="Times New Roman" w:hAnsi="Times New Roman" w:eastAsia="仿宋_GB2312" w:cs="Times New Roman"/>
          <w:b w:val="0"/>
          <w:bCs w:val="0"/>
          <w:sz w:val="32"/>
          <w:szCs w:val="32"/>
          <w:lang w:val="en-US" w:eastAsia="zh-CN"/>
        </w:rPr>
        <w:t>质量管理体系完善、保证措施科学、合理得7-10分；2、质量管理体系较完善、保证措施可行得4-6分；3、质量管理体系简单、保证措施一般得1-3分，4、没有不得分）</w:t>
      </w:r>
      <w:r>
        <w:rPr>
          <w:rFonts w:hint="default" w:ascii="Times New Roman" w:hAnsi="Times New Roman" w:eastAsia="仿宋_GB2312" w:cs="Times New Roman"/>
          <w:b w:val="0"/>
          <w:bCs w:val="0"/>
          <w:sz w:val="32"/>
          <w:szCs w:val="32"/>
        </w:rPr>
        <w:t>；</w:t>
      </w:r>
    </w:p>
    <w:p w14:paraId="0F1BB3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服务周期保障方案</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-5分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没有不得分</w:t>
      </w:r>
      <w:r>
        <w:rPr>
          <w:rFonts w:hint="default" w:ascii="Times New Roman" w:hAnsi="Times New Roman" w:eastAsia="仿宋_GB2312" w:cs="Times New Roman"/>
          <w:b w:val="0"/>
          <w:bCs w:val="0"/>
          <w:sz w:val="32"/>
          <w:szCs w:val="32"/>
        </w:rPr>
        <w:t>）</w:t>
      </w:r>
      <w:r>
        <w:rPr>
          <w:rFonts w:hint="default" w:ascii="Times New Roman" w:hAnsi="Times New Roman" w:cs="Times New Roman"/>
          <w:color w:val="000000"/>
          <w:kern w:val="0"/>
          <w:sz w:val="28"/>
          <w:szCs w:val="28"/>
          <w:highlight w:val="none"/>
          <w:lang w:val="en-US" w:eastAsia="zh-CN" w:bidi="ar"/>
        </w:rPr>
        <w:t>。</w:t>
      </w:r>
    </w:p>
    <w:p w14:paraId="591B0A0E">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3.商务部分</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0分）</w:t>
      </w:r>
      <w:r>
        <w:rPr>
          <w:rFonts w:hint="default" w:ascii="Times New Roman" w:hAnsi="Times New Roman" w:eastAsia="仿宋_GB2312" w:cs="Times New Roman"/>
          <w:b/>
          <w:bCs/>
          <w:sz w:val="32"/>
          <w:szCs w:val="32"/>
          <w:lang w:val="en-US" w:eastAsia="zh-CN"/>
        </w:rPr>
        <w:t xml:space="preserve"> </w:t>
      </w:r>
    </w:p>
    <w:p w14:paraId="2808BAB5">
      <w:pPr>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3.1 </w:t>
      </w:r>
      <w:r>
        <w:rPr>
          <w:rFonts w:hint="default" w:ascii="Times New Roman" w:hAnsi="Times New Roman" w:eastAsia="仿宋_GB2312" w:cs="Times New Roman"/>
          <w:sz w:val="32"/>
          <w:szCs w:val="32"/>
          <w:lang w:eastAsia="zh-CN"/>
        </w:rPr>
        <w:t>企业业绩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分）</w:t>
      </w:r>
    </w:p>
    <w:p w14:paraId="3F3C543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近3年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10月</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承接过</w:t>
      </w:r>
      <w:r>
        <w:rPr>
          <w:rFonts w:hint="default" w:ascii="Times New Roman" w:hAnsi="Times New Roman" w:eastAsia="仿宋_GB2312" w:cs="Times New Roman"/>
          <w:sz w:val="32"/>
          <w:szCs w:val="32"/>
          <w:lang w:eastAsia="zh-CN"/>
        </w:rPr>
        <w:t>类似项目的初步设计工作或者施工图预算编制或评审业绩的</w:t>
      </w:r>
      <w:r>
        <w:rPr>
          <w:rFonts w:hint="default" w:ascii="Times New Roman" w:hAnsi="Times New Roman" w:eastAsia="仿宋_GB2312" w:cs="Times New Roman"/>
          <w:color w:val="auto"/>
          <w:sz w:val="32"/>
          <w:szCs w:val="32"/>
        </w:rPr>
        <w:t>，每</w:t>
      </w:r>
      <w:r>
        <w:rPr>
          <w:rFonts w:hint="default" w:ascii="Times New Roman" w:hAnsi="Times New Roman" w:eastAsia="仿宋_GB2312" w:cs="Times New Roman"/>
          <w:color w:val="auto"/>
          <w:sz w:val="32"/>
          <w:szCs w:val="32"/>
          <w:highlight w:val="none"/>
        </w:rPr>
        <w:t>项得</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分，本项最高</w:t>
      </w:r>
      <w:r>
        <w:rPr>
          <w:rFonts w:hint="default" w:ascii="Times New Roman" w:hAnsi="Times New Roman" w:eastAsia="仿宋_GB2312" w:cs="Times New Roman"/>
          <w:color w:val="auto"/>
          <w:sz w:val="32"/>
          <w:szCs w:val="32"/>
          <w:highlight w:val="none"/>
        </w:rPr>
        <w:t>得</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rPr>
        <w:t>需提供</w:t>
      </w:r>
      <w:r>
        <w:rPr>
          <w:rFonts w:hint="default"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合同或委托证明文件，合同以签订时间为准，</w:t>
      </w:r>
      <w:r>
        <w:rPr>
          <w:rFonts w:hint="default" w:ascii="Times New Roman" w:hAnsi="Times New Roman" w:eastAsia="仿宋_GB2312" w:cs="Times New Roman"/>
          <w:color w:val="auto"/>
          <w:sz w:val="32"/>
          <w:szCs w:val="32"/>
          <w:highlight w:val="none"/>
        </w:rPr>
        <w:t>附复印件加盖公章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w:t>
      </w:r>
    </w:p>
    <w:p w14:paraId="0FC2CF0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企业荣誉（</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eastAsia="zh-CN"/>
        </w:rPr>
        <w:t>分）</w:t>
      </w:r>
    </w:p>
    <w:p w14:paraId="1A3D54B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rPr>
        <w:t>近3年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10月</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10月</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rPr>
        <w:t>以来获得过</w:t>
      </w:r>
      <w:r>
        <w:rPr>
          <w:rFonts w:hint="default" w:ascii="Times New Roman" w:hAnsi="Times New Roman" w:eastAsia="仿宋_GB2312" w:cs="Times New Roman"/>
          <w:color w:val="auto"/>
          <w:sz w:val="32"/>
          <w:szCs w:val="32"/>
          <w:highlight w:val="none"/>
          <w:lang w:val="en-US" w:eastAsia="zh-CN"/>
        </w:rPr>
        <w:t>市级</w:t>
      </w:r>
      <w:r>
        <w:rPr>
          <w:rFonts w:hint="default" w:ascii="Times New Roman" w:hAnsi="Times New Roman" w:eastAsia="仿宋_GB2312" w:cs="Times New Roman"/>
          <w:color w:val="auto"/>
          <w:sz w:val="32"/>
          <w:szCs w:val="32"/>
          <w:highlight w:val="none"/>
        </w:rPr>
        <w:t>建设主管部门或行业协会颁发的</w:t>
      </w:r>
      <w:r>
        <w:rPr>
          <w:rFonts w:hint="default" w:ascii="Times New Roman" w:hAnsi="Times New Roman" w:eastAsia="仿宋_GB2312" w:cs="Times New Roman"/>
          <w:color w:val="auto"/>
          <w:sz w:val="32"/>
          <w:szCs w:val="32"/>
          <w:highlight w:val="none"/>
          <w:lang w:eastAsia="zh-CN"/>
        </w:rPr>
        <w:t>市政</w:t>
      </w:r>
      <w:r>
        <w:rPr>
          <w:rFonts w:hint="default" w:ascii="Times New Roman" w:hAnsi="Times New Roman" w:eastAsia="仿宋_GB2312" w:cs="Times New Roman"/>
          <w:color w:val="auto"/>
          <w:sz w:val="32"/>
          <w:szCs w:val="32"/>
          <w:highlight w:val="none"/>
          <w:lang w:val="en-US" w:eastAsia="zh-CN"/>
        </w:rPr>
        <w:t>公用工程</w:t>
      </w:r>
      <w:r>
        <w:rPr>
          <w:rFonts w:hint="default" w:ascii="Times New Roman" w:hAnsi="Times New Roman" w:eastAsia="仿宋_GB2312" w:cs="Times New Roman"/>
          <w:color w:val="auto"/>
          <w:sz w:val="32"/>
          <w:szCs w:val="32"/>
          <w:highlight w:val="none"/>
        </w:rPr>
        <w:t>设计获奖证书</w:t>
      </w:r>
      <w:r>
        <w:rPr>
          <w:rFonts w:hint="default" w:ascii="Times New Roman" w:hAnsi="Times New Roman" w:eastAsia="仿宋_GB2312" w:cs="Times New Roman"/>
          <w:color w:val="auto"/>
          <w:sz w:val="32"/>
          <w:szCs w:val="32"/>
          <w:highlight w:val="none"/>
          <w:lang w:eastAsia="zh-CN"/>
        </w:rPr>
        <w:t>每项</w:t>
      </w:r>
      <w:r>
        <w:rPr>
          <w:rFonts w:hint="default" w:ascii="Times New Roman" w:hAnsi="Times New Roman" w:eastAsia="仿宋_GB2312" w:cs="Times New Roman"/>
          <w:color w:val="auto"/>
          <w:sz w:val="32"/>
          <w:szCs w:val="32"/>
          <w:highlight w:val="none"/>
          <w:lang w:val="en-US" w:eastAsia="zh-CN"/>
        </w:rPr>
        <w:t>得1分，</w:t>
      </w:r>
      <w:r>
        <w:rPr>
          <w:rFonts w:hint="default" w:ascii="Times New Roman" w:hAnsi="Times New Roman" w:eastAsia="仿宋_GB2312" w:cs="Times New Roman"/>
          <w:color w:val="auto"/>
          <w:sz w:val="32"/>
          <w:szCs w:val="32"/>
          <w:highlight w:val="none"/>
        </w:rPr>
        <w:t>省</w:t>
      </w:r>
      <w:r>
        <w:rPr>
          <w:rFonts w:hint="default" w:ascii="Times New Roman" w:hAnsi="Times New Roman" w:eastAsia="仿宋_GB2312" w:cs="Times New Roman"/>
          <w:color w:val="auto"/>
          <w:sz w:val="32"/>
          <w:szCs w:val="32"/>
          <w:highlight w:val="none"/>
          <w:lang w:val="en-US" w:eastAsia="zh-CN"/>
        </w:rPr>
        <w:t>部</w:t>
      </w:r>
      <w:r>
        <w:rPr>
          <w:rFonts w:hint="default" w:ascii="Times New Roman" w:hAnsi="Times New Roman" w:eastAsia="仿宋_GB2312" w:cs="Times New Roman"/>
          <w:color w:val="auto"/>
          <w:sz w:val="32"/>
          <w:szCs w:val="32"/>
          <w:highlight w:val="none"/>
        </w:rPr>
        <w:t>级建设主管部门或行业协会颁发的</w:t>
      </w:r>
      <w:r>
        <w:rPr>
          <w:rFonts w:hint="default" w:ascii="Times New Roman" w:hAnsi="Times New Roman" w:eastAsia="仿宋_GB2312" w:cs="Times New Roman"/>
          <w:color w:val="auto"/>
          <w:sz w:val="32"/>
          <w:szCs w:val="32"/>
          <w:highlight w:val="none"/>
          <w:lang w:eastAsia="zh-CN"/>
        </w:rPr>
        <w:t>市政</w:t>
      </w:r>
      <w:r>
        <w:rPr>
          <w:rFonts w:hint="default" w:ascii="Times New Roman" w:hAnsi="Times New Roman" w:eastAsia="仿宋_GB2312" w:cs="Times New Roman"/>
          <w:color w:val="auto"/>
          <w:sz w:val="32"/>
          <w:szCs w:val="32"/>
          <w:highlight w:val="none"/>
          <w:lang w:val="en-US" w:eastAsia="zh-CN"/>
        </w:rPr>
        <w:t>公用工程</w:t>
      </w:r>
      <w:r>
        <w:rPr>
          <w:rFonts w:hint="default" w:ascii="Times New Roman" w:hAnsi="Times New Roman" w:eastAsia="仿宋_GB2312" w:cs="Times New Roman"/>
          <w:color w:val="auto"/>
          <w:sz w:val="32"/>
          <w:szCs w:val="32"/>
          <w:highlight w:val="none"/>
        </w:rPr>
        <w:t>设计获奖证书</w:t>
      </w:r>
      <w:r>
        <w:rPr>
          <w:rFonts w:hint="default" w:ascii="Times New Roman" w:hAnsi="Times New Roman" w:eastAsia="仿宋_GB2312" w:cs="Times New Roman"/>
          <w:color w:val="auto"/>
          <w:sz w:val="32"/>
          <w:szCs w:val="32"/>
          <w:highlight w:val="none"/>
          <w:lang w:eastAsia="zh-CN"/>
        </w:rPr>
        <w:t>每项</w:t>
      </w:r>
      <w:r>
        <w:rPr>
          <w:rFonts w:hint="default" w:ascii="Times New Roman" w:hAnsi="Times New Roman" w:eastAsia="仿宋_GB2312" w:cs="Times New Roman"/>
          <w:color w:val="auto"/>
          <w:sz w:val="32"/>
          <w:szCs w:val="32"/>
          <w:highlight w:val="none"/>
        </w:rPr>
        <w:t>得</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国家级</w:t>
      </w:r>
      <w:r>
        <w:rPr>
          <w:rFonts w:hint="default" w:ascii="Times New Roman" w:hAnsi="Times New Roman" w:eastAsia="仿宋_GB2312" w:cs="Times New Roman"/>
          <w:color w:val="auto"/>
          <w:sz w:val="32"/>
          <w:szCs w:val="32"/>
          <w:highlight w:val="none"/>
        </w:rPr>
        <w:t>主管部门或行业协会颁发的</w:t>
      </w:r>
      <w:r>
        <w:rPr>
          <w:rFonts w:hint="default" w:ascii="Times New Roman" w:hAnsi="Times New Roman" w:eastAsia="仿宋_GB2312" w:cs="Times New Roman"/>
          <w:color w:val="auto"/>
          <w:sz w:val="32"/>
          <w:szCs w:val="32"/>
          <w:highlight w:val="none"/>
          <w:lang w:eastAsia="zh-CN"/>
        </w:rPr>
        <w:t>市政</w:t>
      </w:r>
      <w:r>
        <w:rPr>
          <w:rFonts w:hint="default" w:ascii="Times New Roman" w:hAnsi="Times New Roman" w:eastAsia="仿宋_GB2312" w:cs="Times New Roman"/>
          <w:color w:val="auto"/>
          <w:sz w:val="32"/>
          <w:szCs w:val="32"/>
          <w:highlight w:val="none"/>
          <w:lang w:val="en-US" w:eastAsia="zh-CN"/>
        </w:rPr>
        <w:t>公用工程</w:t>
      </w:r>
      <w:r>
        <w:rPr>
          <w:rFonts w:hint="default" w:ascii="Times New Roman" w:hAnsi="Times New Roman" w:eastAsia="仿宋_GB2312" w:cs="Times New Roman"/>
          <w:color w:val="auto"/>
          <w:sz w:val="32"/>
          <w:szCs w:val="32"/>
          <w:highlight w:val="none"/>
        </w:rPr>
        <w:t>设计获奖证书</w:t>
      </w:r>
      <w:r>
        <w:rPr>
          <w:rFonts w:hint="default" w:ascii="Times New Roman" w:hAnsi="Times New Roman" w:eastAsia="仿宋_GB2312" w:cs="Times New Roman"/>
          <w:color w:val="auto"/>
          <w:sz w:val="32"/>
          <w:szCs w:val="32"/>
          <w:highlight w:val="none"/>
          <w:lang w:eastAsia="zh-CN"/>
        </w:rPr>
        <w:t>每项</w:t>
      </w:r>
      <w:r>
        <w:rPr>
          <w:rFonts w:hint="default" w:ascii="Times New Roman" w:hAnsi="Times New Roman" w:eastAsia="仿宋_GB2312" w:cs="Times New Roman"/>
          <w:color w:val="auto"/>
          <w:sz w:val="32"/>
          <w:szCs w:val="32"/>
          <w:highlight w:val="none"/>
        </w:rPr>
        <w:t>得</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，本项</w:t>
      </w:r>
      <w:r>
        <w:rPr>
          <w:rFonts w:hint="default" w:ascii="Times New Roman" w:hAnsi="Times New Roman" w:eastAsia="仿宋_GB2312" w:cs="Times New Roman"/>
          <w:color w:val="auto"/>
          <w:sz w:val="32"/>
          <w:szCs w:val="32"/>
          <w:highlight w:val="none"/>
        </w:rPr>
        <w:t>最高得</w:t>
      </w:r>
      <w:r>
        <w:rPr>
          <w:rFonts w:hint="default" w:ascii="Times New Roman" w:hAnsi="Times New Roman" w:eastAsia="仿宋_GB2312" w:cs="Times New Roman"/>
          <w:color w:val="auto"/>
          <w:sz w:val="32"/>
          <w:szCs w:val="32"/>
          <w:highlight w:val="none"/>
          <w:lang w:eastAsia="zh-CN"/>
        </w:rPr>
        <w:t>15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p>
    <w:p w14:paraId="40693FB7">
      <w:pPr>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3.3 </w:t>
      </w:r>
      <w:r>
        <w:rPr>
          <w:rFonts w:hint="default" w:ascii="Times New Roman" w:hAnsi="Times New Roman" w:eastAsia="仿宋_GB2312" w:cs="Times New Roman"/>
          <w:color w:val="auto"/>
          <w:sz w:val="32"/>
          <w:szCs w:val="32"/>
          <w:highlight w:val="none"/>
          <w:lang w:eastAsia="zh-CN"/>
        </w:rPr>
        <w:t>管理机构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分）</w:t>
      </w:r>
    </w:p>
    <w:p w14:paraId="7B41A3F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项目负责人具有</w:t>
      </w:r>
      <w:r>
        <w:rPr>
          <w:rFonts w:hint="default" w:ascii="Times New Roman" w:hAnsi="Times New Roman" w:eastAsia="仿宋_GB2312" w:cs="Times New Roman"/>
          <w:color w:val="auto"/>
          <w:sz w:val="32"/>
          <w:szCs w:val="32"/>
          <w:highlight w:val="none"/>
          <w:lang w:val="en-US" w:eastAsia="zh-CN"/>
        </w:rPr>
        <w:t>市政</w:t>
      </w:r>
      <w:r>
        <w:rPr>
          <w:rFonts w:hint="default" w:ascii="Times New Roman" w:hAnsi="Times New Roman" w:eastAsia="仿宋_GB2312" w:cs="Times New Roman"/>
          <w:color w:val="auto"/>
          <w:sz w:val="32"/>
          <w:szCs w:val="32"/>
          <w:highlight w:val="none"/>
          <w:lang w:eastAsia="zh-CN"/>
        </w:rPr>
        <w:t>相关专业高级及以上工程师的得</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项目人员配置中(除项目负责人以外)具有注册类的岩土专业、给水排水专业、结构专业、电气专业、道路专业、造价专业，每有一人得2分，本项</w:t>
      </w:r>
      <w:r>
        <w:rPr>
          <w:rFonts w:hint="default" w:ascii="Times New Roman" w:hAnsi="Times New Roman" w:eastAsia="仿宋_GB2312" w:cs="Times New Roman"/>
          <w:color w:val="auto"/>
          <w:sz w:val="32"/>
          <w:szCs w:val="32"/>
          <w:highlight w:val="none"/>
          <w:lang w:val="en-US" w:eastAsia="zh-CN"/>
        </w:rPr>
        <w:t>最高得6分。</w:t>
      </w:r>
    </w:p>
    <w:p w14:paraId="0E731E16">
      <w:pPr>
        <w:keepNext w:val="0"/>
        <w:keepLines w:val="0"/>
        <w:pageBreakBefore w:val="0"/>
        <w:widowControl w:val="0"/>
        <w:kinsoku/>
        <w:wordWrap/>
        <w:overflowPunct/>
        <w:topLinePunct w:val="0"/>
        <w:autoSpaceDE/>
        <w:autoSpaceDN/>
        <w:bidi w:val="0"/>
        <w:snapToGrid/>
        <w:spacing w:line="560" w:lineRule="exact"/>
        <w:ind w:left="638" w:leftChars="304"/>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b/>
          <w:bCs/>
          <w:sz w:val="32"/>
          <w:szCs w:val="32"/>
        </w:rPr>
        <w:t>三</w:t>
      </w:r>
      <w:r>
        <w:rPr>
          <w:rFonts w:hint="default" w:ascii="Times New Roman" w:hAnsi="Times New Roman" w:eastAsia="仿宋_GB2312" w:cs="Times New Roman"/>
          <w:b/>
          <w:bCs/>
          <w:sz w:val="32"/>
          <w:szCs w:val="32"/>
          <w:lang w:val="zh-CN"/>
        </w:rPr>
        <w:t>）推荐</w:t>
      </w:r>
      <w:r>
        <w:rPr>
          <w:rFonts w:hint="default" w:ascii="Times New Roman" w:hAnsi="Times New Roman" w:eastAsia="仿宋_GB2312" w:cs="Times New Roman"/>
          <w:b/>
          <w:bCs/>
          <w:sz w:val="32"/>
          <w:szCs w:val="32"/>
        </w:rPr>
        <w:t>中标</w:t>
      </w:r>
      <w:r>
        <w:rPr>
          <w:rFonts w:hint="default" w:ascii="Times New Roman" w:hAnsi="Times New Roman" w:eastAsia="仿宋_GB2312" w:cs="Times New Roman"/>
          <w:b/>
          <w:bCs/>
          <w:sz w:val="32"/>
          <w:szCs w:val="32"/>
          <w:lang w:val="zh-CN"/>
        </w:rPr>
        <w:t>候选人</w:t>
      </w:r>
    </w:p>
    <w:p w14:paraId="3D1C0CE8">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lang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32"/>
          <w:szCs w:val="32"/>
        </w:rPr>
        <w:t>比选采用综合评分法，按照得分由高到低确定候选人</w:t>
      </w:r>
      <w:r>
        <w:rPr>
          <w:rFonts w:hint="default" w:ascii="Times New Roman" w:hAnsi="Times New Roman" w:eastAsia="仿宋_GB2312" w:cs="Times New Roman"/>
          <w:sz w:val="32"/>
          <w:szCs w:val="32"/>
          <w:lang w:eastAsia="zh-CN"/>
        </w:rPr>
        <w:t>。</w:t>
      </w:r>
    </w:p>
    <w:p w14:paraId="6CEA16C9">
      <w:pPr>
        <w:pStyle w:val="9"/>
        <w:spacing w:before="100" w:after="100"/>
        <w:ind w:left="0" w:leftChars="0" w:firstLine="0" w:firstLineChars="0"/>
        <w:rPr>
          <w:rFonts w:hint="default" w:ascii="Times New Roman" w:hAnsi="Times New Roman" w:eastAsia="仿宋" w:cs="Times New Roman"/>
          <w:sz w:val="32"/>
          <w:szCs w:val="32"/>
        </w:rPr>
      </w:pPr>
    </w:p>
    <w:p w14:paraId="2AC4CD36">
      <w:pPr>
        <w:pStyle w:val="9"/>
        <w:spacing w:before="100" w:after="100"/>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附件3：</w:t>
      </w:r>
    </w:p>
    <w:p w14:paraId="22D5CE0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廉洁自律承诺书</w:t>
      </w:r>
    </w:p>
    <w:p w14:paraId="6925D147">
      <w:pPr>
        <w:spacing w:line="560" w:lineRule="exact"/>
        <w:rPr>
          <w:rFonts w:hint="default" w:ascii="Times New Roman" w:hAnsi="Times New Roman" w:eastAsia="仿宋_GB2312" w:cs="Times New Roman"/>
          <w:sz w:val="32"/>
          <w:szCs w:val="32"/>
        </w:rPr>
      </w:pPr>
    </w:p>
    <w:p w14:paraId="435228E8">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致:       公司</w:t>
      </w:r>
    </w:p>
    <w:p w14:paraId="0E05645E">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为维护公平竞争的市场环境，确保经济活动的廉洁性、合法性和透明度，防止任何</w:t>
      </w:r>
      <w:bookmarkStart w:id="0" w:name="_GoBack"/>
      <w:bookmarkEnd w:id="0"/>
      <w:r>
        <w:rPr>
          <w:rFonts w:hint="default" w:ascii="Times New Roman" w:hAnsi="Times New Roman" w:eastAsia="仿宋_GB2312" w:cs="Times New Roman"/>
          <w:sz w:val="32"/>
          <w:szCs w:val="32"/>
        </w:rPr>
        <w:t>形式的不正当交易及腐败行为，我单位作为投标人，郑重承诺如下:</w:t>
      </w:r>
    </w:p>
    <w:p w14:paraId="375A644D">
      <w:pPr>
        <w:pStyle w:val="12"/>
        <w:snapToGrid w:val="0"/>
        <w:spacing w:after="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1.严格遵守国家及地方关于招投标、市场竞争的相关法律法规，不使用不正当手段妨碍、排挤相关投标单位或串通投标。</w:t>
      </w:r>
    </w:p>
    <w:p w14:paraId="5AB8543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2.不以任何形式(包括但不限于现金、礼品、有价证券回扣、佣金、提供旅游、娱乐活动等)向招标人员、评标专家或其他利害关系方进行贿赂或给予不正当利益。</w:t>
      </w:r>
    </w:p>
    <w:p w14:paraId="2DF64E4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3.不进行任何可能影响招标公平、公正的活动或尝试干预评标过程。</w:t>
      </w:r>
    </w:p>
    <w:p w14:paraId="3C02D146">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如违反上述承诺，我单位愿意接受包括但不限于取消投标资格、中标无效、列入不良行为记录名单等，给招标单位造成损失的，依法承担赔偿责任。</w:t>
      </w:r>
    </w:p>
    <w:p w14:paraId="5D92F95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14:paraId="7C6A6F9A">
      <w:pPr>
        <w:ind w:firstLine="6400" w:firstLineChars="2000"/>
        <w:rPr>
          <w:rFonts w:hint="default" w:ascii="Times New Roman" w:hAnsi="Times New Roman" w:eastAsia="仿宋_GB2312" w:cs="Times New Roman"/>
          <w:sz w:val="32"/>
          <w:szCs w:val="32"/>
        </w:rPr>
      </w:pPr>
    </w:p>
    <w:p w14:paraId="604DE236">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39E9FFB4">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2AFF91DA">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FA2DDC48-A441-4159-A637-449E974546C8}"/>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66B16F5-2D5B-47B9-89B0-B0DF8ED4F5F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4111D"/>
    <w:rsid w:val="04311D7B"/>
    <w:rsid w:val="0C6F38D7"/>
    <w:rsid w:val="13906822"/>
    <w:rsid w:val="13A62739"/>
    <w:rsid w:val="1B234BB0"/>
    <w:rsid w:val="244F79F3"/>
    <w:rsid w:val="2A0F407E"/>
    <w:rsid w:val="35445EF3"/>
    <w:rsid w:val="4175187A"/>
    <w:rsid w:val="422A4686"/>
    <w:rsid w:val="4A455895"/>
    <w:rsid w:val="4C802887"/>
    <w:rsid w:val="5C8A2632"/>
    <w:rsid w:val="6BBC6D0F"/>
    <w:rsid w:val="76B41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1">
    <w:name w:val="Default Paragraph Font"/>
    <w:semiHidden/>
    <w:qFormat/>
    <w:uiPriority w:val="0"/>
    <w:rPr>
      <w:rFonts w:ascii="Calibri" w:hAnsi="Calibri" w:eastAsia="仿宋_GB2312"/>
      <w:sz w:val="32"/>
    </w:rPr>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Indent"/>
    <w:basedOn w:val="1"/>
    <w:next w:val="6"/>
    <w:qFormat/>
    <w:uiPriority w:val="0"/>
    <w:pPr>
      <w:adjustRightInd w:val="0"/>
      <w:spacing w:after="120" w:line="360" w:lineRule="atLeast"/>
      <w:ind w:left="420" w:leftChars="200"/>
      <w:jc w:val="left"/>
      <w:textAlignment w:val="baseline"/>
    </w:pPr>
    <w:rPr>
      <w:sz w:val="24"/>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0"/>
    <w:rPr>
      <w:sz w:val="24"/>
    </w:rPr>
  </w:style>
  <w:style w:type="paragraph" w:styleId="8">
    <w:name w:val="Body Text First Indent"/>
    <w:basedOn w:val="3"/>
    <w:next w:val="9"/>
    <w:qFormat/>
    <w:uiPriority w:val="0"/>
    <w:pPr>
      <w:ind w:firstLine="420" w:firstLineChars="100"/>
    </w:pPr>
    <w:rPr>
      <w:rFonts w:ascii="宋体"/>
      <w:kern w:val="0"/>
      <w:sz w:val="34"/>
    </w:rPr>
  </w:style>
  <w:style w:type="paragraph" w:styleId="9">
    <w:name w:val="Body Text First Indent 2"/>
    <w:basedOn w:val="5"/>
    <w:unhideWhenUsed/>
    <w:qFormat/>
    <w:uiPriority w:val="99"/>
    <w:pPr>
      <w:ind w:firstLine="420" w:firstLineChars="200"/>
    </w:pPr>
  </w:style>
  <w:style w:type="paragraph" w:customStyle="1" w:styleId="12">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1335</Words>
  <Characters>1397</Characters>
  <Lines>0</Lines>
  <Paragraphs>0</Paragraphs>
  <TotalTime>1</TotalTime>
  <ScaleCrop>false</ScaleCrop>
  <LinksUpToDate>false</LinksUpToDate>
  <CharactersWithSpaces>1425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2025-11-25T06:46:00Z</dcterms:created>
  <dc:creator>小雨</dc:creator>
  <cp:lastModifiedBy>萌萌噠</cp:lastModifiedBy>
  <dcterms:modified xsi:type="dcterms:W3CDTF">2025-12-08T03:53:02Z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75CE8E10014048AE9E48C894CA4DA0A5_13</vt:lpwstr>
  </property>
  <property fmtid="{D5CDD505-2E9C-101B-9397-08002B2CF9AE}" pid="4" name="KSOTemplateDocerSaveRecord">
    <vt:lpwstr>eyJoZGlkIjoiYzgzZTc0ZGM5ODYzYTA0Zjk2MDQ0M2JlNWFiODg0NDciLCJ1c2VySWQiOiI4NDIwNTI3OTIifQ==</vt:lpwstr>
  </property>
</Properties>
</file>