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417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14:paraId="4BBF37B8">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rPr>
        <w:t>许昌建投正能热力有限公司</w:t>
      </w:r>
    </w:p>
    <w:p w14:paraId="104E3BDE">
      <w:pPr>
        <w:ind w:firstLine="1200" w:firstLineChars="300"/>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r>
        <w:rPr>
          <w:rFonts w:hint="eastAsia" w:ascii="方正小标宋简体" w:hAnsi="方正小标宋简体" w:eastAsia="方正小标宋简体" w:cs="方正小标宋简体"/>
          <w:b w:val="0"/>
          <w:bCs w:val="0"/>
          <w:sz w:val="40"/>
          <w:szCs w:val="40"/>
          <w:lang w:val="en-US" w:eastAsia="zh-CN"/>
        </w:rPr>
        <w:t>关于对其名下相关设备资产评估服务</w:t>
      </w:r>
    </w:p>
    <w:p w14:paraId="4EDC6123">
      <w:pPr>
        <w:jc w:val="center"/>
        <w:rPr>
          <w:rFonts w:hint="eastAsia" w:ascii="仿宋" w:hAnsi="仿宋" w:eastAsia="仿宋" w:cs="仿宋"/>
          <w:color w:val="auto"/>
          <w:sz w:val="28"/>
          <w:szCs w:val="28"/>
          <w:highlight w:val="none"/>
          <w:shd w:val="clear" w:color="auto" w:fill="auto"/>
        </w:rPr>
      </w:pPr>
    </w:p>
    <w:p w14:paraId="0E592E1E">
      <w:pPr>
        <w:rPr>
          <w:rFonts w:hint="eastAsia" w:ascii="仿宋" w:hAnsi="仿宋" w:eastAsia="仿宋" w:cs="仿宋"/>
          <w:color w:val="auto"/>
          <w:sz w:val="28"/>
          <w:szCs w:val="28"/>
          <w:highlight w:val="none"/>
          <w:shd w:val="clear" w:color="auto" w:fill="auto"/>
        </w:rPr>
      </w:pPr>
    </w:p>
    <w:p w14:paraId="36B8EEBA">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3A28EFD1">
      <w:pPr>
        <w:rPr>
          <w:rFonts w:hint="eastAsia" w:ascii="仿宋" w:hAnsi="仿宋" w:eastAsia="仿宋" w:cs="仿宋"/>
          <w:color w:val="auto"/>
          <w:sz w:val="28"/>
          <w:szCs w:val="28"/>
          <w:highlight w:val="none"/>
          <w:shd w:val="clear" w:color="auto" w:fill="auto"/>
        </w:rPr>
      </w:pPr>
      <w:bookmarkStart w:id="9" w:name="_GoBack"/>
      <w:bookmarkEnd w:id="9"/>
    </w:p>
    <w:p w14:paraId="67B90D69">
      <w:pPr>
        <w:jc w:val="center"/>
        <w:rPr>
          <w:rFonts w:hint="eastAsia" w:ascii="仿宋" w:hAnsi="仿宋" w:eastAsia="仿宋" w:cs="仿宋"/>
          <w:color w:val="auto"/>
          <w:sz w:val="28"/>
          <w:szCs w:val="28"/>
          <w:highlight w:val="none"/>
          <w:shd w:val="clear" w:color="auto" w:fill="auto"/>
        </w:rPr>
      </w:pPr>
    </w:p>
    <w:p w14:paraId="73876A88">
      <w:pPr>
        <w:pStyle w:val="19"/>
        <w:jc w:val="both"/>
        <w:rPr>
          <w:rFonts w:hint="eastAsia" w:ascii="仿宋" w:hAnsi="仿宋" w:eastAsia="仿宋" w:cs="仿宋"/>
          <w:color w:val="auto"/>
          <w:sz w:val="28"/>
          <w:szCs w:val="28"/>
          <w:highlight w:val="none"/>
          <w:shd w:val="clear" w:color="auto" w:fill="auto"/>
        </w:rPr>
      </w:pPr>
    </w:p>
    <w:p w14:paraId="4737BEE3">
      <w:pPr>
        <w:jc w:val="center"/>
        <w:rPr>
          <w:rFonts w:hint="eastAsia" w:ascii="仿宋" w:hAnsi="仿宋" w:eastAsia="仿宋" w:cs="仿宋"/>
          <w:color w:val="auto"/>
          <w:sz w:val="28"/>
          <w:szCs w:val="28"/>
          <w:highlight w:val="none"/>
          <w:shd w:val="clear" w:color="auto" w:fill="auto"/>
        </w:rPr>
      </w:pPr>
    </w:p>
    <w:p w14:paraId="7DDBBBA3">
      <w:pPr>
        <w:jc w:val="center"/>
        <w:rPr>
          <w:rFonts w:hint="eastAsia" w:ascii="仿宋" w:hAnsi="仿宋" w:eastAsia="仿宋" w:cs="仿宋"/>
          <w:color w:val="auto"/>
          <w:sz w:val="28"/>
          <w:szCs w:val="28"/>
          <w:highlight w:val="none"/>
          <w:shd w:val="clear" w:color="auto" w:fill="auto"/>
        </w:rPr>
      </w:pPr>
    </w:p>
    <w:p w14:paraId="1026BC41">
      <w:pPr>
        <w:spacing w:line="360" w:lineRule="auto"/>
        <w:jc w:val="center"/>
        <w:rPr>
          <w:rFonts w:hint="eastAsia" w:ascii="仿宋" w:hAnsi="仿宋" w:eastAsia="仿宋" w:cs="仿宋"/>
          <w:b/>
          <w:bCs/>
          <w:caps/>
          <w:color w:val="auto"/>
          <w:sz w:val="36"/>
          <w:szCs w:val="36"/>
          <w:highlight w:val="none"/>
          <w:shd w:val="clear" w:color="auto" w:fill="auto"/>
          <w:lang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sz w:val="36"/>
          <w:szCs w:val="36"/>
        </w:rPr>
        <w:t>许昌建投正能热力有限公司</w:t>
      </w:r>
    </w:p>
    <w:p w14:paraId="7A500F0A">
      <w:pPr>
        <w:spacing w:line="360" w:lineRule="auto"/>
        <w:jc w:val="center"/>
        <w:rPr>
          <w:rFonts w:hint="eastAsia" w:ascii="仿宋" w:hAnsi="仿宋" w:eastAsia="仿宋" w:cs="仿宋"/>
          <w:b/>
          <w:color w:val="auto"/>
          <w:sz w:val="36"/>
          <w:szCs w:val="36"/>
          <w:highlight w:val="none"/>
          <w:shd w:val="clear" w:color="auto" w:fill="auto"/>
        </w:rPr>
      </w:pPr>
    </w:p>
    <w:p w14:paraId="59859BFC">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十一</w:t>
      </w:r>
      <w:r>
        <w:rPr>
          <w:rFonts w:hint="eastAsia" w:ascii="仿宋" w:hAnsi="仿宋" w:eastAsia="仿宋" w:cs="仿宋"/>
          <w:b/>
          <w:color w:val="auto"/>
          <w:sz w:val="36"/>
          <w:szCs w:val="36"/>
          <w:highlight w:val="none"/>
          <w:shd w:val="clear" w:color="auto" w:fill="auto"/>
        </w:rPr>
        <w:t>月</w:t>
      </w:r>
    </w:p>
    <w:p w14:paraId="022D5F09">
      <w:pPr>
        <w:pStyle w:val="14"/>
        <w:ind w:firstLine="0" w:firstLineChars="0"/>
        <w:rPr>
          <w:rFonts w:hint="eastAsia" w:ascii="仿宋" w:hAnsi="仿宋" w:eastAsia="仿宋" w:cs="仿宋"/>
          <w:color w:val="auto"/>
          <w:sz w:val="24"/>
          <w:szCs w:val="24"/>
          <w:highlight w:val="none"/>
          <w:shd w:val="clear" w:color="auto" w:fill="auto"/>
        </w:rPr>
      </w:pPr>
    </w:p>
    <w:p w14:paraId="188D73CF">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0A59E7B8">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2452A451">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17A4BA0">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E2DE844">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0FC09D27">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5E9DD569">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4FD53E5">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4172518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7F8F738B">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许昌建投正能热力有限公司</w:t>
      </w:r>
      <w:r>
        <w:rPr>
          <w:rFonts w:hint="eastAsia" w:ascii="仿宋_GB2312" w:hAnsi="仿宋_GB2312" w:eastAsia="仿宋_GB2312" w:cs="仿宋_GB2312"/>
          <w:sz w:val="32"/>
          <w:szCs w:val="32"/>
          <w:lang w:val="en-US" w:eastAsia="zh-CN"/>
        </w:rPr>
        <w:t>（以下简称“比选人”）拟通过邀请比选的方式选取价值评估机构对比选人名下相关设备资产进行价值评估，并出具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5A9CE6C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现诚邀符合资格条件的比选申请人参加。</w:t>
      </w:r>
    </w:p>
    <w:p w14:paraId="0CFF1A7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lang w:val="en-US" w:eastAsia="zh-CN"/>
        </w:rPr>
        <w:t>项目概况</w:t>
      </w:r>
    </w:p>
    <w:p w14:paraId="336A92E9">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sz w:val="32"/>
          <w:szCs w:val="32"/>
        </w:rPr>
        <w:t>许昌建投正能热力有限公司</w:t>
      </w:r>
      <w:r>
        <w:rPr>
          <w:rFonts w:hint="eastAsia" w:ascii="仿宋_GB2312" w:hAnsi="仿宋_GB2312" w:eastAsia="仿宋_GB2312" w:cs="仿宋_GB2312"/>
          <w:sz w:val="32"/>
          <w:szCs w:val="32"/>
          <w:lang w:val="en-US" w:eastAsia="zh-CN"/>
        </w:rPr>
        <w:t>关于对其名下相关设备资产评估服务比选项目。</w:t>
      </w:r>
    </w:p>
    <w:p w14:paraId="00B38D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highlight w:val="none"/>
          <w:lang w:eastAsia="zh-CN"/>
        </w:rPr>
        <w:t>比选</w:t>
      </w:r>
      <w:r>
        <w:rPr>
          <w:rFonts w:hint="eastAsia" w:ascii="仿宋_GB2312" w:hAnsi="仿宋_GB2312" w:eastAsia="仿宋_GB2312" w:cs="仿宋_GB2312"/>
          <w:b/>
          <w:sz w:val="32"/>
          <w:szCs w:val="32"/>
          <w:highlight w:val="none"/>
        </w:rPr>
        <w:t>人：</w:t>
      </w:r>
      <w:r>
        <w:rPr>
          <w:rFonts w:hint="eastAsia" w:ascii="仿宋_GB2312" w:hAnsi="仿宋_GB2312" w:eastAsia="仿宋_GB2312" w:cs="仿宋_GB2312"/>
          <w:sz w:val="32"/>
          <w:szCs w:val="32"/>
        </w:rPr>
        <w:t>许昌建投正能热力有限公司</w:t>
      </w:r>
    </w:p>
    <w:p w14:paraId="2C37D906">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highlight w:val="none"/>
          <w:lang w:val="en-US" w:eastAsia="zh-CN"/>
        </w:rPr>
        <w:t>价值评估服务内容</w:t>
      </w:r>
    </w:p>
    <w:p w14:paraId="26A3249A">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14:paraId="24615DA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5726DA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14:paraId="34BBBD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14:paraId="2819C0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应具备以下条件：</w:t>
      </w:r>
    </w:p>
    <w:p w14:paraId="7E0E6C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1、在中华人民共和国境内注册，具备独立法人资格，持有合法有效的企业法人营业执照；</w:t>
      </w:r>
    </w:p>
    <w:p w14:paraId="5FC7CD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2、具备评估服务的成功经验；</w:t>
      </w:r>
    </w:p>
    <w:p w14:paraId="30C4B2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3、比选申请人近三年未因重大的执业质量等问题受到通报、处罚，没有处于破产、被责令停业或存在其他违法行为；</w:t>
      </w:r>
    </w:p>
    <w:p w14:paraId="5D5376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184823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14:paraId="1B4302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按照比选文件第五章要求提供。</w:t>
      </w:r>
    </w:p>
    <w:p w14:paraId="4253C3C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14:paraId="458283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FF"/>
          <w:sz w:val="32"/>
          <w:szCs w:val="32"/>
          <w:highlight w:val="none"/>
        </w:rPr>
      </w:pPr>
      <w:r>
        <w:rPr>
          <w:rFonts w:hint="eastAsia" w:ascii="仿宋_GB2312" w:hAnsi="仿宋_GB2312" w:eastAsia="仿宋_GB2312" w:cs="仿宋_GB2312"/>
          <w:color w:val="auto"/>
          <w:sz w:val="32"/>
          <w:szCs w:val="32"/>
          <w:highlight w:val="none"/>
        </w:rPr>
        <w:t>2025年11月2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日下午5点30前将</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eastAsia="zh-CN"/>
        </w:rPr>
        <w:t>送达（邮寄）</w:t>
      </w:r>
      <w:r>
        <w:rPr>
          <w:rFonts w:hint="eastAsia" w:ascii="仿宋_GB2312" w:hAnsi="仿宋_GB2312" w:eastAsia="仿宋_GB2312" w:cs="仿宋_GB2312"/>
          <w:color w:val="auto"/>
          <w:sz w:val="32"/>
          <w:szCs w:val="32"/>
          <w:highlight w:val="none"/>
        </w:rPr>
        <w:t>至：许昌市建安大道东段财政综合楼（81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室）。</w:t>
      </w:r>
    </w:p>
    <w:p w14:paraId="3661600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rPr>
        <w:t>办法</w:t>
      </w:r>
    </w:p>
    <w:p w14:paraId="14AF64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14:paraId="0076A6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人组成的磋商小组进行磋商确定。</w:t>
      </w:r>
    </w:p>
    <w:p w14:paraId="6784A9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3、有效比选申请人不足三家时，采购人重新组织</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活动。</w:t>
      </w:r>
    </w:p>
    <w:p w14:paraId="45DE94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14:paraId="4E5593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14:paraId="30B0A0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val="en-US" w:eastAsia="zh-CN"/>
        </w:rPr>
        <w:t>价值评估服务机构</w:t>
      </w:r>
      <w:r>
        <w:rPr>
          <w:rFonts w:hint="eastAsia" w:ascii="仿宋_GB2312" w:hAnsi="仿宋_GB2312" w:eastAsia="仿宋_GB2312" w:cs="仿宋_GB2312"/>
          <w:sz w:val="32"/>
          <w:szCs w:val="32"/>
        </w:rPr>
        <w:t>。</w:t>
      </w:r>
    </w:p>
    <w:p w14:paraId="6626EF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rPr>
        <w:t>人有权拒绝接收。</w:t>
      </w:r>
    </w:p>
    <w:p w14:paraId="6DE60B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八、比选控制价</w:t>
      </w:r>
    </w:p>
    <w:p w14:paraId="595DBD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8.85万元。</w:t>
      </w:r>
    </w:p>
    <w:p w14:paraId="181DFA6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次比选公告在许昌市城投发展集团有限公司官网（网</w:t>
      </w:r>
      <w:r>
        <w:rPr>
          <w:rFonts w:hint="eastAsia" w:ascii="仿宋_GB2312" w:hAnsi="仿宋_GB2312" w:eastAsia="仿宋_GB2312" w:cs="仿宋_GB2312"/>
          <w:sz w:val="32"/>
          <w:szCs w:val="32"/>
          <w:highlight w:val="none"/>
          <w:lang w:eastAsia="zh-CN"/>
        </w:rPr>
        <w:t>站地址：http://www.xcsct.cn/）发</w:t>
      </w:r>
      <w:r>
        <w:rPr>
          <w:rFonts w:hint="eastAsia" w:ascii="仿宋_GB2312" w:hAnsi="仿宋_GB2312" w:eastAsia="仿宋_GB2312" w:cs="仿宋_GB2312"/>
          <w:sz w:val="32"/>
          <w:szCs w:val="32"/>
          <w:lang w:eastAsia="zh-CN"/>
        </w:rPr>
        <w:t>布。</w:t>
      </w:r>
    </w:p>
    <w:p w14:paraId="0E35CE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35393796"/>
      <w:bookmarkEnd w:id="0"/>
      <w:bookmarkStart w:id="1" w:name="_Toc35393795"/>
      <w:bookmarkEnd w:id="1"/>
      <w:bookmarkStart w:id="2" w:name="_Toc28359085"/>
      <w:bookmarkEnd w:id="2"/>
      <w:bookmarkStart w:id="3" w:name="_Toc28359008"/>
      <w:bookmarkEnd w:id="3"/>
      <w:bookmarkStart w:id="4" w:name="_Toc35393626"/>
      <w:bookmarkEnd w:id="4"/>
      <w:bookmarkStart w:id="5" w:name="_Toc35393627"/>
      <w:bookmarkEnd w:id="5"/>
      <w:r>
        <w:rPr>
          <w:rFonts w:hint="eastAsia" w:ascii="仿宋_GB2312" w:hAnsi="仿宋_GB2312" w:eastAsia="仿宋_GB2312" w:cs="仿宋_GB2312"/>
          <w:b/>
          <w:bCs w:val="0"/>
          <w:sz w:val="32"/>
          <w:szCs w:val="32"/>
          <w:highlight w:val="none"/>
          <w:lang w:val="en-US" w:eastAsia="zh-CN"/>
        </w:rPr>
        <w:t>十、联系方式</w:t>
      </w:r>
    </w:p>
    <w:p w14:paraId="7452F2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比选人</w:t>
      </w:r>
      <w:r>
        <w:rPr>
          <w:rFonts w:hint="eastAsia" w:ascii="仿宋_GB2312" w:hAnsi="仿宋_GB2312" w:eastAsia="仿宋_GB2312" w:cs="仿宋_GB2312"/>
          <w:b w:val="0"/>
          <w:bCs/>
          <w:sz w:val="32"/>
          <w:szCs w:val="32"/>
          <w:highlight w:val="none"/>
          <w:lang w:val="en-GB" w:eastAsia="zh-CN"/>
        </w:rPr>
        <w:t>：</w:t>
      </w:r>
      <w:r>
        <w:rPr>
          <w:rFonts w:hint="eastAsia" w:ascii="仿宋_GB2312" w:hAnsi="仿宋_GB2312" w:eastAsia="仿宋_GB2312" w:cs="仿宋_GB2312"/>
          <w:sz w:val="32"/>
          <w:szCs w:val="32"/>
        </w:rPr>
        <w:t>许昌建投正能热力有限公司</w:t>
      </w:r>
    </w:p>
    <w:p w14:paraId="79ED9EE4">
      <w:pPr>
        <w:spacing w:line="60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地</w:t>
      </w:r>
      <w:r>
        <w:rPr>
          <w:rFonts w:hint="eastAsia" w:ascii="仿宋_GB2312" w:hAnsi="仿宋_GB2312" w:eastAsia="仿宋_GB2312" w:cs="仿宋_GB2312"/>
          <w:b w:val="0"/>
          <w:bCs/>
          <w:sz w:val="32"/>
          <w:szCs w:val="32"/>
          <w:highlight w:val="none"/>
          <w:lang w:eastAsia="zh-CN"/>
        </w:rPr>
        <w:t xml:space="preserve">    </w:t>
      </w:r>
      <w:r>
        <w:rPr>
          <w:rFonts w:hint="eastAsia" w:ascii="仿宋_GB2312" w:hAnsi="仿宋_GB2312" w:eastAsia="仿宋_GB2312" w:cs="仿宋_GB2312"/>
          <w:b w:val="0"/>
          <w:bCs/>
          <w:sz w:val="32"/>
          <w:szCs w:val="32"/>
          <w:highlight w:val="none"/>
          <w:lang w:val="en-GB" w:eastAsia="zh-CN"/>
        </w:rPr>
        <w:t>址：</w:t>
      </w:r>
      <w:r>
        <w:rPr>
          <w:rFonts w:hint="eastAsia" w:ascii="仿宋_GB2312" w:hAnsi="仿宋_GB2312" w:eastAsia="仿宋_GB2312" w:cs="仿宋_GB2312"/>
          <w:sz w:val="32"/>
          <w:szCs w:val="32"/>
          <w:highlight w:val="none"/>
        </w:rPr>
        <w:t>许昌市建安大道东段财政综合楼81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室</w:t>
      </w:r>
    </w:p>
    <w:p w14:paraId="0C7FA4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崔先生   </w:t>
      </w:r>
      <w:r>
        <w:rPr>
          <w:rFonts w:hint="eastAsia" w:ascii="仿宋_GB2312" w:hAnsi="仿宋_GB2312" w:eastAsia="仿宋_GB2312" w:cs="仿宋_GB2312"/>
          <w:b w:val="0"/>
          <w:bCs/>
          <w:sz w:val="32"/>
          <w:szCs w:val="32"/>
          <w:highlight w:val="none"/>
          <w:lang w:val="en-GB" w:eastAsia="zh-CN"/>
        </w:rPr>
        <w:t xml:space="preserve">        </w:t>
      </w:r>
    </w:p>
    <w:p w14:paraId="33134F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0374-2699026</w:t>
      </w:r>
    </w:p>
    <w:p w14:paraId="0EC141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监督电话：0374-2699180</w:t>
      </w:r>
    </w:p>
    <w:p w14:paraId="67BBE105">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232134AE">
      <w:pPr>
        <w:pStyle w:val="14"/>
        <w:rPr>
          <w:rFonts w:hint="eastAsia" w:ascii="仿宋" w:hAnsi="仿宋" w:eastAsia="仿宋" w:cs="仿宋"/>
          <w:b/>
          <w:bCs/>
          <w:color w:val="auto"/>
          <w:sz w:val="24"/>
          <w:szCs w:val="24"/>
        </w:rPr>
      </w:pPr>
    </w:p>
    <w:p w14:paraId="70E58BF4">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6C1AB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14:paraId="752E563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14:paraId="4D12CEED">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56E73E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14:paraId="322AD4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服务内容中所列要求为最低要求，不允许偏离，否则将承担其投标被视为非实质性响应投标的风险。</w:t>
      </w:r>
    </w:p>
    <w:p w14:paraId="793BBA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TW"/>
        </w:rPr>
        <w:t>服务标准、期限、效率等要求</w:t>
      </w:r>
    </w:p>
    <w:p w14:paraId="6E6FE4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确定为</w:t>
      </w:r>
      <w:r>
        <w:rPr>
          <w:rFonts w:hint="eastAsia" w:ascii="仿宋_GB2312" w:hAnsi="仿宋_GB2312" w:eastAsia="仿宋_GB2312" w:cs="仿宋_GB2312"/>
          <w:color w:val="auto"/>
          <w:sz w:val="32"/>
          <w:szCs w:val="32"/>
          <w:lang w:val="en-US" w:eastAsia="zh-CN"/>
        </w:rPr>
        <w:t>中标人起十天内出具评估报告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lang w:val="en-US" w:eastAsia="zh-CN"/>
        </w:rPr>
        <w:t>以任何理由延迟交付</w:t>
      </w:r>
      <w:r>
        <w:rPr>
          <w:rFonts w:hint="eastAsia" w:ascii="仿宋_GB2312" w:hAnsi="仿宋_GB2312" w:eastAsia="仿宋_GB2312" w:cs="仿宋_GB2312"/>
          <w:sz w:val="32"/>
          <w:szCs w:val="32"/>
          <w:lang w:eastAsia="zh-CN"/>
        </w:rPr>
        <w:t>。</w:t>
      </w:r>
    </w:p>
    <w:p w14:paraId="6D5ADD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14:paraId="5DCE46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14:paraId="3AEE4AF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验收标准</w:t>
      </w:r>
    </w:p>
    <w:p w14:paraId="387450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lang w:val="en-US" w:eastAsia="zh-CN"/>
        </w:rPr>
        <w:t>符合项目金融机构要求的评估报告</w:t>
      </w:r>
      <w:r>
        <w:rPr>
          <w:rFonts w:hint="eastAsia" w:ascii="仿宋_GB2312" w:hAnsi="仿宋_GB2312" w:eastAsia="仿宋_GB2312" w:cs="仿宋_GB2312"/>
          <w:sz w:val="32"/>
          <w:szCs w:val="32"/>
          <w:lang w:eastAsia="zh-CN"/>
        </w:rPr>
        <w:t>。</w:t>
      </w:r>
    </w:p>
    <w:p w14:paraId="4425AD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本项目单项评估服务费最高限价为</w:t>
      </w:r>
      <w:r>
        <w:rPr>
          <w:rFonts w:hint="eastAsia" w:ascii="仿宋_GB2312" w:hAnsi="仿宋_GB2312" w:eastAsia="仿宋_GB2312" w:cs="仿宋_GB2312"/>
          <w:color w:val="auto"/>
          <w:sz w:val="32"/>
          <w:szCs w:val="32"/>
          <w:highlight w:val="none"/>
          <w:lang w:val="en-US" w:eastAsia="zh-CN"/>
        </w:rPr>
        <w:t>8.85万元</w:t>
      </w:r>
      <w:r>
        <w:rPr>
          <w:rFonts w:hint="eastAsia" w:ascii="仿宋_GB2312" w:hAnsi="仿宋_GB2312" w:eastAsia="仿宋_GB2312" w:cs="仿宋_GB2312"/>
          <w:color w:val="auto"/>
          <w:sz w:val="32"/>
          <w:szCs w:val="32"/>
          <w:highlight w:val="none"/>
          <w:lang w:val="zh-CN" w:eastAsia="zh-CN"/>
        </w:rPr>
        <w:t>，超</w:t>
      </w:r>
      <w:r>
        <w:rPr>
          <w:rFonts w:hint="eastAsia" w:ascii="仿宋_GB2312" w:hAnsi="仿宋_GB2312" w:eastAsia="仿宋_GB2312" w:cs="仿宋_GB2312"/>
          <w:sz w:val="32"/>
          <w:szCs w:val="32"/>
          <w:highlight w:val="none"/>
          <w:lang w:val="zh-CN" w:eastAsia="zh-CN"/>
        </w:rPr>
        <w:t>出最高限价的投标无效</w:t>
      </w:r>
      <w:r>
        <w:rPr>
          <w:rFonts w:hint="eastAsia" w:ascii="仿宋_GB2312" w:hAnsi="仿宋_GB2312" w:eastAsia="仿宋_GB2312" w:cs="仿宋_GB2312"/>
          <w:sz w:val="32"/>
          <w:szCs w:val="32"/>
          <w:lang w:val="zh-CN" w:eastAsia="zh-CN"/>
        </w:rPr>
        <w:t>。</w:t>
      </w:r>
    </w:p>
    <w:p w14:paraId="6F4CC4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资金支付</w:t>
      </w:r>
    </w:p>
    <w:p w14:paraId="5CB961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14:paraId="4EA3E3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w:t>
      </w:r>
      <w:r>
        <w:rPr>
          <w:rFonts w:hint="eastAsia" w:ascii="仿宋_GB2312" w:hAnsi="仿宋_GB2312" w:eastAsia="仿宋_GB2312" w:cs="仿宋_GB2312"/>
          <w:sz w:val="32"/>
          <w:szCs w:val="32"/>
          <w:lang w:val="en-US" w:eastAsia="zh-CN"/>
        </w:rPr>
        <w:t>评估服务合同</w:t>
      </w:r>
      <w:r>
        <w:rPr>
          <w:rFonts w:hint="eastAsia" w:ascii="仿宋_GB2312" w:hAnsi="仿宋_GB2312" w:eastAsia="仿宋_GB2312" w:cs="仿宋_GB2312"/>
          <w:sz w:val="32"/>
          <w:szCs w:val="32"/>
          <w:lang w:val="zh-CN" w:eastAsia="zh-TW"/>
        </w:rPr>
        <w:t>》</w:t>
      </w:r>
      <w:r>
        <w:rPr>
          <w:rFonts w:hint="eastAsia" w:ascii="仿宋_GB2312" w:hAnsi="仿宋_GB2312" w:eastAsia="仿宋_GB2312" w:cs="仿宋_GB2312"/>
          <w:sz w:val="32"/>
          <w:szCs w:val="32"/>
          <w:lang w:val="en-US" w:eastAsia="zh-CN"/>
        </w:rPr>
        <w:t>约定执行。</w:t>
      </w:r>
    </w:p>
    <w:p w14:paraId="38366A0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21C3E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6E7DD77">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6D8BE4E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EE7A54">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B60C30">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CAA50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12C308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A96504">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72426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8528AF">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sz w:val="24"/>
                <w:szCs w:val="24"/>
                <w:lang w:val="en-US" w:eastAsia="zh-CN"/>
              </w:rPr>
              <w:t>许昌建投正能热力有限公司关于对其名下相关设备资产评估服务比选项目。</w:t>
            </w:r>
          </w:p>
          <w:p w14:paraId="34182686">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highlight w:val="none"/>
                <w:lang w:val="en-US" w:eastAsia="zh-CN"/>
              </w:rPr>
              <w:t>为比选人出具评估认证报告，并</w:t>
            </w:r>
            <w:r>
              <w:rPr>
                <w:rFonts w:hint="eastAsia" w:ascii="仿宋" w:hAnsi="仿宋" w:eastAsia="仿宋" w:cs="仿宋"/>
                <w:color w:val="auto"/>
                <w:sz w:val="24"/>
                <w:szCs w:val="24"/>
                <w:highlight w:val="none"/>
                <w:lang w:val="zh-CN" w:eastAsia="zh-CN"/>
              </w:rPr>
              <w:t>保证出具的</w:t>
            </w:r>
            <w:r>
              <w:rPr>
                <w:rFonts w:hint="eastAsia" w:ascii="仿宋" w:hAnsi="仿宋" w:eastAsia="仿宋" w:cs="仿宋"/>
                <w:color w:val="auto"/>
                <w:sz w:val="24"/>
                <w:szCs w:val="24"/>
                <w:highlight w:val="none"/>
                <w:lang w:val="en-US" w:eastAsia="zh-CN"/>
              </w:rPr>
              <w:t>评估报告</w:t>
            </w:r>
            <w:r>
              <w:rPr>
                <w:rFonts w:hint="eastAsia" w:ascii="仿宋" w:hAnsi="仿宋" w:eastAsia="仿宋" w:cs="仿宋"/>
                <w:color w:val="auto"/>
                <w:sz w:val="24"/>
                <w:szCs w:val="24"/>
                <w:highlight w:val="none"/>
                <w:lang w:val="zh-CN" w:eastAsia="zh-CN"/>
              </w:rPr>
              <w:t>符合</w:t>
            </w:r>
            <w:r>
              <w:rPr>
                <w:rFonts w:hint="eastAsia" w:ascii="仿宋" w:hAnsi="仿宋" w:eastAsia="仿宋" w:cs="仿宋"/>
                <w:color w:val="auto"/>
                <w:sz w:val="24"/>
                <w:szCs w:val="24"/>
                <w:highlight w:val="none"/>
                <w:lang w:val="en-US" w:eastAsia="zh-CN"/>
              </w:rPr>
              <w:t>项目融资</w:t>
            </w:r>
            <w:r>
              <w:rPr>
                <w:rFonts w:hint="eastAsia" w:ascii="仿宋" w:hAnsi="仿宋" w:eastAsia="仿宋" w:cs="仿宋"/>
                <w:color w:val="auto"/>
                <w:sz w:val="24"/>
                <w:szCs w:val="24"/>
                <w:lang w:val="en-US" w:eastAsia="zh-CN"/>
              </w:rPr>
              <w:t>金融机构要求</w:t>
            </w:r>
            <w:r>
              <w:rPr>
                <w:rFonts w:hint="eastAsia" w:ascii="仿宋" w:hAnsi="仿宋" w:eastAsia="仿宋" w:cs="仿宋"/>
                <w:color w:val="auto"/>
                <w:sz w:val="24"/>
                <w:szCs w:val="24"/>
                <w:lang w:val="zh-CN" w:eastAsia="zh-CN"/>
              </w:rPr>
              <w:t>。</w:t>
            </w:r>
          </w:p>
        </w:tc>
      </w:tr>
      <w:tr w14:paraId="30F9222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0B536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8CA141">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3CDE4D">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sz w:val="24"/>
                <w:szCs w:val="24"/>
                <w:lang w:val="en-US" w:eastAsia="zh-CN"/>
              </w:rPr>
              <w:t>许昌建投正能热力有限公司</w:t>
            </w:r>
            <w:r>
              <w:rPr>
                <w:rFonts w:hint="eastAsia" w:ascii="仿宋" w:hAnsi="仿宋" w:eastAsia="仿宋" w:cs="仿宋"/>
                <w:color w:val="auto"/>
                <w:sz w:val="24"/>
                <w:szCs w:val="24"/>
                <w:highlight w:val="none"/>
                <w:shd w:val="clear" w:color="auto" w:fill="FFFFFF"/>
              </w:rPr>
              <w:t xml:space="preserve"> </w:t>
            </w:r>
          </w:p>
          <w:p w14:paraId="2C31CA41">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14:paraId="7A5585D5">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崔先生</w:t>
            </w:r>
            <w:r>
              <w:rPr>
                <w:rFonts w:hint="eastAsia" w:ascii="仿宋" w:hAnsi="仿宋" w:eastAsia="仿宋" w:cs="仿宋"/>
                <w:bCs/>
                <w:color w:val="auto"/>
                <w:sz w:val="24"/>
                <w:szCs w:val="24"/>
                <w:highlight w:val="none"/>
                <w:lang w:eastAsia="zh-CN"/>
              </w:rPr>
              <w:t xml:space="preserve">           </w:t>
            </w:r>
          </w:p>
          <w:p w14:paraId="1B3B2DFB">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063334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6A27BAF">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FE44D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DD0327">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4DD767C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22CEB3AD">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14:paraId="6E9C5277">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2、具备评估服务的成功经验；</w:t>
            </w:r>
          </w:p>
          <w:p w14:paraId="711BACA3">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2C8D6F00">
            <w:pPr>
              <w:autoSpaceDE w:val="0"/>
              <w:autoSpaceDN w:val="0"/>
              <w:adjustRightInd w:val="0"/>
              <w:spacing w:line="540" w:lineRule="exact"/>
              <w:ind w:right="-11"/>
              <w:rPr>
                <w:rFonts w:hint="eastAsia"/>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6A4C35C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55A09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BCFE76">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2C796">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D2DE4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31BB8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EC0FC">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评估认证服务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9E1A1">
            <w:pPr>
              <w:numPr>
                <w:ilvl w:val="0"/>
                <w:numId w:val="4"/>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本项目单项评估认证服务费最高限价</w:t>
            </w:r>
            <w:r>
              <w:rPr>
                <w:rFonts w:hint="eastAsia" w:ascii="仿宋" w:hAnsi="仿宋" w:eastAsia="仿宋" w:cs="仿宋"/>
                <w:color w:val="auto"/>
                <w:sz w:val="24"/>
                <w:szCs w:val="24"/>
                <w:highlight w:val="none"/>
                <w:shd w:val="clear"/>
                <w:lang w:val="zh-CN" w:eastAsia="zh-CN"/>
              </w:rPr>
              <w:t>为</w:t>
            </w:r>
            <w:r>
              <w:rPr>
                <w:rFonts w:hint="eastAsia" w:ascii="仿宋" w:hAnsi="仿宋" w:eastAsia="仿宋" w:cs="仿宋"/>
                <w:color w:val="auto"/>
                <w:sz w:val="24"/>
                <w:szCs w:val="24"/>
                <w:highlight w:val="none"/>
                <w:shd w:val="clear"/>
                <w:lang w:val="en-US" w:eastAsia="zh-CN"/>
              </w:rPr>
              <w:t>8.85万元</w:t>
            </w:r>
            <w:r>
              <w:rPr>
                <w:rFonts w:hint="eastAsia" w:ascii="仿宋" w:hAnsi="仿宋" w:eastAsia="仿宋" w:cs="仿宋"/>
                <w:color w:val="auto"/>
                <w:sz w:val="24"/>
                <w:szCs w:val="24"/>
                <w:highlight w:val="none"/>
                <w:shd w:val="clear"/>
                <w:lang w:val="zh-CN" w:eastAsia="zh-CN"/>
              </w:rPr>
              <w:t>，</w:t>
            </w:r>
            <w:r>
              <w:rPr>
                <w:rFonts w:hint="eastAsia" w:ascii="仿宋" w:hAnsi="仿宋" w:eastAsia="仿宋" w:cs="仿宋"/>
                <w:color w:val="auto"/>
                <w:sz w:val="24"/>
                <w:szCs w:val="24"/>
                <w:highlight w:val="none"/>
                <w:lang w:val="zh-CN" w:eastAsia="zh-CN"/>
              </w:rPr>
              <w:t>超出最高限价的投标无效。</w:t>
            </w:r>
          </w:p>
          <w:p w14:paraId="5CEAF203">
            <w:pPr>
              <w:numPr>
                <w:ilvl w:val="0"/>
                <w:numId w:val="4"/>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0E45D21">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677B18E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84C33">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D49DFB">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25392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5B4E99CB">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0EB753C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0B00C7">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04B93D">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F8A0B">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756DF02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576A0D9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2FA1B7">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0A564C">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6C8AE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666758C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1990191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F1B0CD">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6FD324">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9BE7A3">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59BF049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E26151">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609AAB">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4F17FA">
            <w:pPr>
              <w:autoSpaceDE w:val="0"/>
              <w:autoSpaceDN w:val="0"/>
              <w:adjustRightInd w:val="0"/>
              <w:spacing w:line="540" w:lineRule="exact"/>
              <w:rPr>
                <w:rFonts w:hint="eastAsia" w:ascii="仿宋" w:hAnsi="仿宋" w:eastAsia="仿宋" w:cs="仿宋"/>
                <w:bCs/>
                <w:color w:val="auto"/>
                <w:sz w:val="24"/>
                <w:szCs w:val="24"/>
                <w:highlight w:val="magenta"/>
                <w:lang w:val="en-US" w:eastAsia="zh-CN"/>
              </w:rPr>
            </w:pPr>
            <w:r>
              <w:rPr>
                <w:rFonts w:hint="eastAsia" w:ascii="仿宋" w:hAnsi="仿宋" w:eastAsia="仿宋" w:cs="仿宋"/>
                <w:bCs/>
                <w:color w:val="auto"/>
                <w:sz w:val="24"/>
                <w:szCs w:val="24"/>
                <w:highlight w:val="none"/>
                <w:lang w:val="zh-CN"/>
              </w:rPr>
              <w:t>投标截止时间202</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24</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下午5点30</w:t>
            </w:r>
            <w:r>
              <w:rPr>
                <w:rFonts w:hint="eastAsia" w:ascii="仿宋" w:hAnsi="仿宋" w:eastAsia="仿宋" w:cs="仿宋"/>
                <w:bCs/>
                <w:color w:val="auto"/>
                <w:sz w:val="24"/>
                <w:szCs w:val="24"/>
                <w:highlight w:val="none"/>
                <w:lang w:val="zh-CN"/>
              </w:rPr>
              <w:t>。</w:t>
            </w:r>
          </w:p>
        </w:tc>
      </w:tr>
      <w:tr w14:paraId="6184A0A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05C4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5DB95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211EA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rPr>
              <w:t>许昌市建安大道东段财政综合大楼</w:t>
            </w:r>
            <w:r>
              <w:rPr>
                <w:rFonts w:hint="eastAsia" w:ascii="仿宋" w:hAnsi="仿宋" w:eastAsia="仿宋" w:cs="仿宋"/>
                <w:bCs/>
                <w:color w:val="auto"/>
                <w:sz w:val="24"/>
                <w:szCs w:val="24"/>
                <w:highlight w:val="none"/>
                <w:lang w:val="en-US" w:eastAsia="zh-CN"/>
              </w:rPr>
              <w:t>816房间</w:t>
            </w:r>
            <w:r>
              <w:rPr>
                <w:rFonts w:hint="eastAsia" w:ascii="仿宋" w:hAnsi="仿宋" w:eastAsia="仿宋" w:cs="仿宋"/>
                <w:color w:val="auto"/>
                <w:sz w:val="24"/>
                <w:szCs w:val="24"/>
                <w:lang w:val="zh-CN"/>
              </w:rPr>
              <w:t>。</w:t>
            </w:r>
          </w:p>
        </w:tc>
      </w:tr>
      <w:tr w14:paraId="190C534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D3D35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349B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4A6697">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14:paraId="3E90F08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D410D9">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C96F9C">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AB93FF">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0850F26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DA0B59">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4AF7F4">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0FC98C">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1A739464">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54924F8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B5919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395CC0">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78840D">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3124D55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268B33">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81F40">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8E5713">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bl>
    <w:p w14:paraId="60D178D5">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13F5528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4D57A5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3A5340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22B4D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14:paraId="7E9021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14:paraId="18FD82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60E462E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14:paraId="71D02E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14:paraId="3118C2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1F8C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24E8EAD0">
            <w:pPr>
              <w:tabs>
                <w:tab w:val="left" w:pos="622"/>
              </w:tabs>
              <w:jc w:val="center"/>
              <w:rPr>
                <w:rFonts w:hint="eastAsia" w:ascii="宋体" w:hAnsi="宋体"/>
                <w:b/>
                <w:sz w:val="30"/>
                <w:szCs w:val="30"/>
              </w:rPr>
            </w:pPr>
            <w:r>
              <w:rPr>
                <w:rFonts w:hint="eastAsia" w:ascii="宋体" w:hAnsi="宋体"/>
                <w:b/>
                <w:sz w:val="30"/>
                <w:szCs w:val="30"/>
              </w:rPr>
              <w:t>评分项目</w:t>
            </w:r>
          </w:p>
        </w:tc>
        <w:tc>
          <w:tcPr>
            <w:tcW w:w="1353" w:type="dxa"/>
            <w:noWrap w:val="0"/>
            <w:vAlign w:val="center"/>
          </w:tcPr>
          <w:p w14:paraId="0288AFF1">
            <w:pPr>
              <w:tabs>
                <w:tab w:val="left" w:pos="622"/>
              </w:tabs>
              <w:jc w:val="center"/>
              <w:rPr>
                <w:rFonts w:hint="eastAsia" w:ascii="宋体" w:hAnsi="宋体"/>
                <w:b/>
                <w:sz w:val="30"/>
                <w:szCs w:val="30"/>
              </w:rPr>
            </w:pPr>
            <w:r>
              <w:rPr>
                <w:rFonts w:hint="eastAsia" w:ascii="宋体" w:hAnsi="宋体"/>
                <w:b/>
                <w:sz w:val="30"/>
                <w:szCs w:val="30"/>
              </w:rPr>
              <w:t>分值</w:t>
            </w:r>
          </w:p>
        </w:tc>
        <w:tc>
          <w:tcPr>
            <w:tcW w:w="4004" w:type="dxa"/>
            <w:noWrap w:val="0"/>
            <w:vAlign w:val="center"/>
          </w:tcPr>
          <w:p w14:paraId="657BE451">
            <w:pPr>
              <w:tabs>
                <w:tab w:val="left" w:pos="622"/>
              </w:tabs>
              <w:jc w:val="center"/>
              <w:rPr>
                <w:rFonts w:hint="eastAsia" w:ascii="宋体" w:hAnsi="宋体"/>
                <w:b/>
                <w:sz w:val="30"/>
                <w:szCs w:val="30"/>
              </w:rPr>
            </w:pPr>
            <w:r>
              <w:rPr>
                <w:rFonts w:hint="eastAsia" w:ascii="宋体" w:hAnsi="宋体"/>
                <w:b/>
                <w:sz w:val="30"/>
                <w:szCs w:val="30"/>
              </w:rPr>
              <w:t>评分标准</w:t>
            </w:r>
          </w:p>
        </w:tc>
        <w:tc>
          <w:tcPr>
            <w:tcW w:w="1575" w:type="dxa"/>
            <w:noWrap w:val="0"/>
            <w:vAlign w:val="center"/>
          </w:tcPr>
          <w:p w14:paraId="1F4DDE80">
            <w:pPr>
              <w:tabs>
                <w:tab w:val="left" w:pos="622"/>
              </w:tabs>
              <w:jc w:val="center"/>
              <w:rPr>
                <w:rFonts w:hint="eastAsia" w:ascii="宋体" w:hAnsi="宋体"/>
                <w:b/>
                <w:sz w:val="30"/>
                <w:szCs w:val="30"/>
              </w:rPr>
            </w:pPr>
            <w:r>
              <w:rPr>
                <w:rFonts w:hint="eastAsia" w:ascii="宋体" w:hAnsi="宋体"/>
                <w:b/>
                <w:sz w:val="30"/>
                <w:szCs w:val="30"/>
              </w:rPr>
              <w:t>得分</w:t>
            </w:r>
          </w:p>
        </w:tc>
      </w:tr>
      <w:tr w14:paraId="2476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39E93E23">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比选</w:t>
            </w:r>
            <w:r>
              <w:rPr>
                <w:rFonts w:hint="eastAsia" w:ascii="宋体" w:hAnsi="宋体"/>
                <w:b/>
                <w:sz w:val="28"/>
                <w:szCs w:val="28"/>
              </w:rPr>
              <w:t>报价</w:t>
            </w:r>
          </w:p>
        </w:tc>
        <w:tc>
          <w:tcPr>
            <w:tcW w:w="1353" w:type="dxa"/>
            <w:noWrap w:val="0"/>
            <w:vAlign w:val="center"/>
          </w:tcPr>
          <w:p w14:paraId="2F6E731E">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noWrap w:val="0"/>
            <w:vAlign w:val="center"/>
          </w:tcPr>
          <w:p w14:paraId="783EC9B7">
            <w:pPr>
              <w:widowControl/>
              <w:spacing w:line="440" w:lineRule="exact"/>
              <w:jc w:val="left"/>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1.收费超过</w:t>
            </w:r>
            <w:r>
              <w:rPr>
                <w:rFonts w:hint="eastAsia" w:asciiTheme="minorEastAsia" w:hAnsiTheme="minorEastAsia" w:eastAsiaTheme="minorEastAsia" w:cstheme="minorEastAsia"/>
                <w:color w:val="auto"/>
                <w:kern w:val="0"/>
                <w:sz w:val="28"/>
                <w:szCs w:val="28"/>
                <w:highlight w:val="none"/>
                <w:lang w:val="en-US" w:eastAsia="zh-CN" w:bidi="ar"/>
              </w:rPr>
              <w:t>8.85</w:t>
            </w:r>
            <w:r>
              <w:rPr>
                <w:rFonts w:hint="eastAsia" w:asciiTheme="minorEastAsia" w:hAnsiTheme="minorEastAsia" w:eastAsiaTheme="minorEastAsia" w:cstheme="minorEastAsia"/>
                <w:color w:val="auto"/>
                <w:kern w:val="0"/>
                <w:sz w:val="28"/>
                <w:szCs w:val="28"/>
                <w:highlight w:val="none"/>
                <w:lang w:bidi="ar"/>
              </w:rPr>
              <w:t>万元为无效报价；</w:t>
            </w:r>
          </w:p>
          <w:p w14:paraId="7651E77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000000"/>
                <w:kern w:val="0"/>
                <w:sz w:val="28"/>
                <w:szCs w:val="28"/>
                <w:lang w:bidi="ar"/>
              </w:rPr>
              <w:t>2.</w:t>
            </w:r>
            <w:r>
              <w:rPr>
                <w:rFonts w:hint="eastAsia" w:asciiTheme="minorEastAsia" w:hAnsiTheme="minorEastAsia" w:eastAsiaTheme="minorEastAsia" w:cstheme="minorEastAsia"/>
                <w:color w:val="auto"/>
                <w:sz w:val="28"/>
                <w:szCs w:val="28"/>
                <w:highlight w:val="none"/>
                <w:lang w:val="en-US" w:eastAsia="zh-CN"/>
              </w:rPr>
              <w:t>所有参与的比选申请人报价的平均值作为基准报价；</w:t>
            </w:r>
          </w:p>
          <w:p w14:paraId="195BC98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ascii="宋体" w:hAnsi="宋体" w:cs="宋体"/>
                <w:color w:val="000000"/>
                <w:sz w:val="28"/>
                <w:szCs w:val="28"/>
              </w:rPr>
            </w:pPr>
            <w:r>
              <w:rPr>
                <w:rFonts w:hint="eastAsia" w:asciiTheme="minorEastAsia" w:hAnsiTheme="minorEastAsia" w:eastAsiaTheme="minorEastAsia" w:cstheme="minorEastAsia"/>
                <w:color w:val="auto"/>
                <w:sz w:val="28"/>
                <w:szCs w:val="28"/>
                <w:highlight w:val="none"/>
                <w:lang w:val="en-US" w:eastAsia="zh-CN"/>
              </w:rPr>
              <w:t>3.报价得分=（1-∣选聘基准价-评估费用报价∣/选聘基准价）×20分。</w:t>
            </w:r>
          </w:p>
        </w:tc>
        <w:tc>
          <w:tcPr>
            <w:tcW w:w="1575" w:type="dxa"/>
            <w:noWrap w:val="0"/>
            <w:vAlign w:val="center"/>
          </w:tcPr>
          <w:p w14:paraId="5BF8D4BD">
            <w:pPr>
              <w:tabs>
                <w:tab w:val="left" w:pos="622"/>
              </w:tabs>
              <w:jc w:val="center"/>
              <w:rPr>
                <w:rFonts w:hint="eastAsia" w:ascii="宋体" w:hAnsi="宋体"/>
                <w:sz w:val="24"/>
              </w:rPr>
            </w:pPr>
          </w:p>
        </w:tc>
      </w:tr>
      <w:tr w14:paraId="2A4D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26CBD9D9">
            <w:pPr>
              <w:tabs>
                <w:tab w:val="left" w:pos="622"/>
              </w:tabs>
              <w:spacing w:line="440" w:lineRule="exact"/>
              <w:jc w:val="center"/>
              <w:rPr>
                <w:rFonts w:hint="eastAsia" w:ascii="宋体" w:hAnsi="宋体" w:cs="宋体"/>
                <w:b/>
                <w:color w:val="000000"/>
                <w:kern w:val="0"/>
                <w:sz w:val="28"/>
                <w:szCs w:val="28"/>
                <w:lang w:bidi="ar"/>
              </w:rPr>
            </w:pPr>
            <w:r>
              <w:rPr>
                <w:rFonts w:hint="eastAsia" w:ascii="宋体" w:hAnsi="宋体" w:cs="Times New Roman"/>
                <w:b/>
                <w:sz w:val="28"/>
                <w:szCs w:val="28"/>
                <w:lang w:val="en-US" w:eastAsia="zh-CN"/>
              </w:rPr>
              <w:t>服务团队人员</w:t>
            </w:r>
          </w:p>
        </w:tc>
        <w:tc>
          <w:tcPr>
            <w:tcW w:w="1353" w:type="dxa"/>
            <w:noWrap w:val="0"/>
            <w:vAlign w:val="center"/>
          </w:tcPr>
          <w:p w14:paraId="109CBD61">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noWrap w:val="0"/>
            <w:vAlign w:val="center"/>
          </w:tcPr>
          <w:p w14:paraId="1FA5A9A8">
            <w:pPr>
              <w:tabs>
                <w:tab w:val="left" w:pos="622"/>
              </w:tabs>
              <w:spacing w:line="440" w:lineRule="exact"/>
              <w:jc w:val="left"/>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评估服务团队成员每有1名资产</w:t>
            </w:r>
            <w:r>
              <w:rPr>
                <w:rFonts w:hint="eastAsia" w:ascii="宋体" w:hAnsi="宋体" w:cs="宋体"/>
                <w:color w:val="auto"/>
                <w:kern w:val="0"/>
                <w:sz w:val="28"/>
                <w:szCs w:val="28"/>
                <w:highlight w:val="none"/>
                <w:lang w:val="en-US" w:eastAsia="zh-CN" w:bidi="ar"/>
              </w:rPr>
              <w:t>评估师的</w:t>
            </w:r>
            <w:r>
              <w:rPr>
                <w:rFonts w:hint="eastAsia" w:ascii="宋体" w:hAnsi="宋体" w:cs="宋体"/>
                <w:color w:val="000000"/>
                <w:kern w:val="0"/>
                <w:sz w:val="28"/>
                <w:szCs w:val="28"/>
                <w:lang w:val="en-US" w:eastAsia="zh-CN" w:bidi="ar"/>
              </w:rPr>
              <w:t>得5分，最高20分</w:t>
            </w:r>
            <w:r>
              <w:rPr>
                <w:rFonts w:hint="eastAsia" w:ascii="宋体" w:hAnsi="宋体" w:eastAsia="宋体" w:cs="宋体"/>
                <w:color w:val="000000"/>
                <w:kern w:val="0"/>
                <w:sz w:val="28"/>
                <w:szCs w:val="28"/>
                <w:lang w:val="en-US" w:eastAsia="zh-CN" w:bidi="ar"/>
              </w:rPr>
              <w:t>。</w:t>
            </w:r>
          </w:p>
          <w:p w14:paraId="6529E69D">
            <w:pPr>
              <w:tabs>
                <w:tab w:val="left" w:pos="622"/>
              </w:tabs>
              <w:spacing w:line="440" w:lineRule="exact"/>
              <w:jc w:val="left"/>
              <w:rPr>
                <w:rFonts w:hint="default" w:ascii="宋体" w:hAnsi="宋体" w:eastAsia="宋体" w:cs="宋体"/>
                <w:color w:val="000000"/>
                <w:kern w:val="0"/>
                <w:sz w:val="28"/>
                <w:szCs w:val="28"/>
                <w:lang w:val="en-US" w:eastAsia="zh-CN" w:bidi="ar"/>
              </w:rPr>
            </w:pPr>
            <w:r>
              <w:rPr>
                <w:rFonts w:hint="default" w:ascii="Times New Roman" w:hAnsi="Times New Roman" w:cs="Times New Roman"/>
                <w:color w:val="auto"/>
                <w:sz w:val="24"/>
                <w:szCs w:val="24"/>
                <w:lang w:val="en-US" w:eastAsia="zh-CN"/>
              </w:rPr>
              <w:t>注：以上人员证书除提供证明文件复印件或扫描件外同时应提供投标人为该人员缴纳近1年内任意连续3个月的社保证明材料，否则不得分。</w:t>
            </w:r>
          </w:p>
        </w:tc>
        <w:tc>
          <w:tcPr>
            <w:tcW w:w="1575" w:type="dxa"/>
            <w:noWrap w:val="0"/>
            <w:vAlign w:val="center"/>
          </w:tcPr>
          <w:p w14:paraId="4A7CE934">
            <w:pPr>
              <w:tabs>
                <w:tab w:val="left" w:pos="622"/>
              </w:tabs>
              <w:jc w:val="center"/>
              <w:rPr>
                <w:rFonts w:hint="eastAsia" w:ascii="宋体" w:hAnsi="宋体"/>
                <w:sz w:val="24"/>
              </w:rPr>
            </w:pPr>
          </w:p>
        </w:tc>
      </w:tr>
      <w:tr w14:paraId="5C63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3C5275EB">
            <w:pPr>
              <w:tabs>
                <w:tab w:val="left" w:pos="622"/>
              </w:tabs>
              <w:spacing w:line="440" w:lineRule="exact"/>
              <w:jc w:val="center"/>
              <w:rPr>
                <w:rFonts w:hint="eastAsia" w:ascii="宋体" w:hAnsi="宋体"/>
                <w:b/>
                <w:sz w:val="28"/>
                <w:szCs w:val="28"/>
              </w:rPr>
            </w:pPr>
            <w:r>
              <w:rPr>
                <w:rFonts w:hint="eastAsia" w:ascii="宋体" w:hAnsi="宋体" w:cs="宋体"/>
                <w:b/>
                <w:color w:val="000000"/>
                <w:kern w:val="0"/>
                <w:sz w:val="28"/>
                <w:szCs w:val="28"/>
                <w:lang w:bidi="ar"/>
              </w:rPr>
              <w:t>服务方案</w:t>
            </w:r>
          </w:p>
        </w:tc>
        <w:tc>
          <w:tcPr>
            <w:tcW w:w="1353" w:type="dxa"/>
            <w:noWrap w:val="0"/>
            <w:vAlign w:val="center"/>
          </w:tcPr>
          <w:p w14:paraId="31CA90FF">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40</w:t>
            </w:r>
            <w:r>
              <w:rPr>
                <w:rFonts w:hint="eastAsia" w:ascii="宋体" w:hAnsi="宋体"/>
                <w:sz w:val="28"/>
                <w:szCs w:val="28"/>
              </w:rPr>
              <w:t>分</w:t>
            </w:r>
          </w:p>
        </w:tc>
        <w:tc>
          <w:tcPr>
            <w:tcW w:w="4004" w:type="dxa"/>
            <w:noWrap w:val="0"/>
            <w:vAlign w:val="center"/>
          </w:tcPr>
          <w:p w14:paraId="593BB62E">
            <w:pPr>
              <w:numPr>
                <w:ilvl w:val="0"/>
                <w:numId w:val="5"/>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提供评估服务</w:t>
            </w:r>
            <w:r>
              <w:rPr>
                <w:rFonts w:hint="eastAsia" w:ascii="宋体" w:hAnsi="宋体" w:cs="宋体"/>
                <w:color w:val="000000"/>
                <w:kern w:val="0"/>
                <w:sz w:val="28"/>
                <w:szCs w:val="28"/>
                <w:highlight w:val="none"/>
                <w:lang w:val="en-US" w:eastAsia="zh-CN" w:bidi="ar"/>
              </w:rPr>
              <w:t>时间安排优秀的得6—15分，良好的得1—5分，没有不得分。</w:t>
            </w:r>
          </w:p>
          <w:p w14:paraId="1F4CA8F5">
            <w:pPr>
              <w:tabs>
                <w:tab w:val="left" w:pos="622"/>
              </w:tabs>
              <w:spacing w:line="440" w:lineRule="exact"/>
              <w:jc w:val="left"/>
              <w:rPr>
                <w:rFonts w:hint="default" w:ascii="宋体" w:hAnsi="宋体"/>
                <w:sz w:val="28"/>
                <w:szCs w:val="28"/>
                <w:lang w:val="en-US" w:eastAsia="zh-CN"/>
              </w:rPr>
            </w:pPr>
            <w:r>
              <w:rPr>
                <w:rFonts w:hint="eastAsia" w:ascii="宋体" w:hAnsi="宋体" w:cs="宋体"/>
                <w:color w:val="000000"/>
                <w:kern w:val="0"/>
                <w:sz w:val="28"/>
                <w:szCs w:val="28"/>
                <w:highlight w:val="none"/>
                <w:lang w:val="en-US" w:eastAsia="zh-CN" w:bidi="ar"/>
              </w:rPr>
              <w:t>2、服务方案详细、完好、全面，评估中涉及与金融机构协调沟通</w:t>
            </w:r>
            <w:r>
              <w:rPr>
                <w:rFonts w:hint="default" w:ascii="Times New Roman" w:hAnsi="Times New Roman" w:cs="Times New Roman"/>
                <w:color w:val="000000"/>
                <w:kern w:val="0"/>
                <w:sz w:val="28"/>
                <w:szCs w:val="28"/>
                <w:highlight w:val="none"/>
                <w:lang w:val="en-US" w:eastAsia="zh-CN" w:bidi="ar"/>
              </w:rPr>
              <w:t>有关内容、困难问题和解决方案等要素</w:t>
            </w:r>
            <w:r>
              <w:rPr>
                <w:rFonts w:hint="eastAsia" w:ascii="宋体" w:hAnsi="宋体" w:cs="宋体"/>
                <w:color w:val="000000"/>
                <w:kern w:val="0"/>
                <w:sz w:val="28"/>
                <w:szCs w:val="28"/>
                <w:highlight w:val="none"/>
                <w:lang w:val="en-US" w:eastAsia="zh-CN" w:bidi="ar"/>
              </w:rPr>
              <w:t>，方案和举措优秀的</w:t>
            </w:r>
            <w:r>
              <w:rPr>
                <w:rFonts w:hint="default" w:ascii="Times New Roman" w:hAnsi="Times New Roman" w:cs="Times New Roman"/>
                <w:color w:val="000000"/>
                <w:kern w:val="0"/>
                <w:sz w:val="28"/>
                <w:szCs w:val="28"/>
                <w:highlight w:val="none"/>
                <w:lang w:val="en-US" w:eastAsia="zh-CN" w:bidi="ar"/>
              </w:rPr>
              <w:t>得1</w:t>
            </w:r>
            <w:r>
              <w:rPr>
                <w:rFonts w:hint="eastAsia" w:cs="Times New Roman"/>
                <w:color w:val="000000"/>
                <w:kern w:val="0"/>
                <w:sz w:val="28"/>
                <w:szCs w:val="28"/>
                <w:highlight w:val="none"/>
                <w:lang w:val="en-US" w:eastAsia="zh-CN" w:bidi="ar"/>
              </w:rPr>
              <w:t>1</w:t>
            </w:r>
            <w:r>
              <w:rPr>
                <w:rFonts w:hint="default" w:ascii="Times New Roman" w:hAnsi="Times New Roman" w:cs="Times New Roman"/>
                <w:color w:val="000000"/>
                <w:kern w:val="0"/>
                <w:sz w:val="28"/>
                <w:szCs w:val="28"/>
                <w:highlight w:val="none"/>
                <w:lang w:val="en-US" w:eastAsia="zh-CN" w:bidi="ar"/>
              </w:rPr>
              <w:t>—2</w:t>
            </w:r>
            <w:r>
              <w:rPr>
                <w:rFonts w:hint="eastAsia" w:cs="Times New Roman"/>
                <w:color w:val="000000"/>
                <w:kern w:val="0"/>
                <w:sz w:val="28"/>
                <w:szCs w:val="28"/>
                <w:highlight w:val="none"/>
                <w:lang w:val="en-US" w:eastAsia="zh-CN" w:bidi="ar"/>
              </w:rPr>
              <w:t>5</w:t>
            </w:r>
            <w:r>
              <w:rPr>
                <w:rFonts w:hint="default" w:ascii="Times New Roman" w:hAnsi="Times New Roman" w:cs="Times New Roman"/>
                <w:color w:val="000000"/>
                <w:kern w:val="0"/>
                <w:sz w:val="28"/>
                <w:szCs w:val="28"/>
                <w:highlight w:val="none"/>
                <w:lang w:val="en-US" w:eastAsia="zh-CN" w:bidi="ar"/>
              </w:rPr>
              <w:t>分，良好的得1—10分，没有不得分。</w:t>
            </w:r>
          </w:p>
        </w:tc>
        <w:tc>
          <w:tcPr>
            <w:tcW w:w="1575" w:type="dxa"/>
            <w:noWrap w:val="0"/>
            <w:vAlign w:val="center"/>
          </w:tcPr>
          <w:p w14:paraId="5126910D">
            <w:pPr>
              <w:tabs>
                <w:tab w:val="left" w:pos="622"/>
              </w:tabs>
              <w:jc w:val="center"/>
              <w:rPr>
                <w:rFonts w:hint="eastAsia" w:ascii="宋体" w:hAnsi="宋体"/>
                <w:sz w:val="24"/>
              </w:rPr>
            </w:pPr>
          </w:p>
        </w:tc>
      </w:tr>
      <w:tr w14:paraId="3C79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6B8D347C">
            <w:pPr>
              <w:tabs>
                <w:tab w:val="left" w:pos="622"/>
              </w:tabs>
              <w:spacing w:line="440" w:lineRule="exact"/>
              <w:jc w:val="center"/>
              <w:rPr>
                <w:rFonts w:hint="eastAsia" w:ascii="宋体" w:hAnsi="宋体" w:eastAsia="宋体" w:cs="宋体"/>
                <w:b/>
                <w:color w:val="000000"/>
                <w:kern w:val="0"/>
                <w:sz w:val="28"/>
                <w:szCs w:val="28"/>
                <w:lang w:eastAsia="zh-CN" w:bidi="ar"/>
              </w:rPr>
            </w:pPr>
            <w:r>
              <w:rPr>
                <w:rFonts w:hint="eastAsia" w:ascii="宋体" w:hAnsi="宋体" w:cs="宋体"/>
                <w:b/>
                <w:color w:val="000000"/>
                <w:kern w:val="0"/>
                <w:sz w:val="28"/>
                <w:szCs w:val="28"/>
                <w:lang w:eastAsia="zh-CN" w:bidi="ar"/>
              </w:rPr>
              <w:t>服务业绩</w:t>
            </w:r>
          </w:p>
        </w:tc>
        <w:tc>
          <w:tcPr>
            <w:tcW w:w="1353" w:type="dxa"/>
            <w:noWrap w:val="0"/>
            <w:vAlign w:val="center"/>
          </w:tcPr>
          <w:p w14:paraId="375CF940">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20分</w:t>
            </w:r>
          </w:p>
        </w:tc>
        <w:tc>
          <w:tcPr>
            <w:tcW w:w="4004" w:type="dxa"/>
            <w:noWrap w:val="0"/>
            <w:vAlign w:val="center"/>
          </w:tcPr>
          <w:p w14:paraId="64479D9F">
            <w:pPr>
              <w:tabs>
                <w:tab w:val="left" w:pos="622"/>
              </w:tabs>
              <w:spacing w:line="440" w:lineRule="exact"/>
              <w:jc w:val="left"/>
              <w:rPr>
                <w:rFonts w:hint="default" w:ascii="宋体" w:hAnsi="宋体"/>
                <w:sz w:val="28"/>
                <w:szCs w:val="28"/>
                <w:lang w:val="en-US" w:eastAsia="zh-CN"/>
              </w:rPr>
            </w:pPr>
            <w:r>
              <w:rPr>
                <w:rFonts w:hint="eastAsia" w:ascii="宋体" w:hAnsi="宋体" w:eastAsia="宋体" w:cs="宋体"/>
                <w:color w:val="auto"/>
                <w:kern w:val="2"/>
                <w:sz w:val="28"/>
                <w:szCs w:val="28"/>
                <w:lang w:val="en-US" w:eastAsia="zh-CN" w:bidi="ar"/>
              </w:rPr>
              <w:t>202</w:t>
            </w:r>
            <w:r>
              <w:rPr>
                <w:rFonts w:hint="eastAsia" w:ascii="宋体" w:hAnsi="宋体" w:cs="宋体"/>
                <w:color w:val="auto"/>
                <w:kern w:val="2"/>
                <w:sz w:val="28"/>
                <w:szCs w:val="28"/>
                <w:lang w:val="en-US" w:eastAsia="zh-CN" w:bidi="ar"/>
              </w:rPr>
              <w:t>2</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11</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1</w:t>
            </w:r>
            <w:r>
              <w:rPr>
                <w:rFonts w:hint="eastAsia" w:ascii="宋体" w:hAnsi="宋体" w:eastAsia="宋体" w:cs="宋体"/>
                <w:color w:val="auto"/>
                <w:kern w:val="2"/>
                <w:sz w:val="28"/>
                <w:szCs w:val="28"/>
                <w:lang w:val="en-US" w:eastAsia="zh-CN" w:bidi="ar"/>
              </w:rPr>
              <w:t>日起，投标人承担资产评估服务同类项目业绩情况：</w:t>
            </w:r>
            <w:r>
              <w:rPr>
                <w:rFonts w:hint="eastAsia" w:ascii="宋体" w:hAnsi="宋体" w:eastAsia="宋体" w:cs="宋体"/>
                <w:sz w:val="28"/>
                <w:szCs w:val="28"/>
                <w:lang w:eastAsia="zh-CN"/>
              </w:rPr>
              <w:t>每提供一份</w:t>
            </w:r>
            <w:r>
              <w:rPr>
                <w:rFonts w:hint="eastAsia" w:ascii="宋体" w:hAnsi="宋体" w:eastAsia="宋体" w:cs="宋体"/>
                <w:sz w:val="28"/>
                <w:szCs w:val="28"/>
                <w:lang w:val="en-US" w:eastAsia="zh-CN"/>
              </w:rPr>
              <w:t>相关评估服务业务证明材料的</w:t>
            </w:r>
            <w:r>
              <w:rPr>
                <w:rFonts w:hint="eastAsia" w:ascii="宋体" w:hAnsi="宋体" w:eastAsia="宋体" w:cs="宋体"/>
                <w:sz w:val="28"/>
                <w:szCs w:val="28"/>
                <w:lang w:eastAsia="zh-CN"/>
              </w:rPr>
              <w:t>得</w:t>
            </w:r>
            <w:r>
              <w:rPr>
                <w:rFonts w:hint="eastAsia" w:ascii="宋体" w:hAnsi="宋体" w:cs="宋体"/>
                <w:sz w:val="28"/>
                <w:szCs w:val="28"/>
                <w:lang w:val="en-US" w:eastAsia="zh-CN"/>
              </w:rPr>
              <w:t>5</w:t>
            </w:r>
            <w:r>
              <w:rPr>
                <w:rFonts w:hint="eastAsia" w:ascii="宋体" w:hAnsi="宋体" w:eastAsia="宋体" w:cs="宋体"/>
                <w:sz w:val="28"/>
                <w:szCs w:val="28"/>
                <w:lang w:eastAsia="zh-CN"/>
              </w:rPr>
              <w:t>分</w:t>
            </w:r>
            <w:r>
              <w:rPr>
                <w:rFonts w:hint="eastAsia" w:ascii="宋体" w:hAnsi="宋体" w:eastAsia="宋体" w:cs="宋体"/>
                <w:sz w:val="28"/>
                <w:szCs w:val="28"/>
                <w:lang w:val="en-US" w:eastAsia="zh-CN"/>
              </w:rPr>
              <w:t>，最高20分。</w:t>
            </w:r>
          </w:p>
        </w:tc>
        <w:tc>
          <w:tcPr>
            <w:tcW w:w="1575" w:type="dxa"/>
            <w:noWrap w:val="0"/>
            <w:vAlign w:val="center"/>
          </w:tcPr>
          <w:p w14:paraId="0F766AD5">
            <w:pPr>
              <w:tabs>
                <w:tab w:val="left" w:pos="622"/>
              </w:tabs>
              <w:jc w:val="center"/>
              <w:rPr>
                <w:rFonts w:hint="eastAsia" w:ascii="宋体" w:hAnsi="宋体"/>
                <w:sz w:val="24"/>
              </w:rPr>
            </w:pPr>
          </w:p>
        </w:tc>
      </w:tr>
      <w:tr w14:paraId="5851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61E323C9">
            <w:pPr>
              <w:tabs>
                <w:tab w:val="left" w:pos="622"/>
              </w:tabs>
              <w:jc w:val="center"/>
              <w:rPr>
                <w:rFonts w:hint="eastAsia" w:ascii="宋体" w:hAnsi="宋体"/>
                <w:b/>
                <w:sz w:val="30"/>
                <w:szCs w:val="30"/>
              </w:rPr>
            </w:pPr>
            <w:r>
              <w:rPr>
                <w:rFonts w:hint="eastAsia" w:ascii="宋体" w:hAnsi="宋体"/>
                <w:b/>
                <w:sz w:val="30"/>
                <w:szCs w:val="30"/>
              </w:rPr>
              <w:t>合计</w:t>
            </w:r>
          </w:p>
        </w:tc>
        <w:tc>
          <w:tcPr>
            <w:tcW w:w="1353" w:type="dxa"/>
            <w:noWrap w:val="0"/>
            <w:vAlign w:val="center"/>
          </w:tcPr>
          <w:p w14:paraId="68198EE3">
            <w:pPr>
              <w:tabs>
                <w:tab w:val="left" w:pos="622"/>
              </w:tabs>
              <w:jc w:val="center"/>
              <w:rPr>
                <w:rFonts w:hint="eastAsia" w:ascii="宋体" w:hAnsi="宋体"/>
                <w:b/>
                <w:sz w:val="30"/>
                <w:szCs w:val="30"/>
              </w:rPr>
            </w:pPr>
            <w:r>
              <w:rPr>
                <w:rFonts w:hint="eastAsia" w:ascii="宋体" w:hAnsi="宋体"/>
                <w:b/>
                <w:sz w:val="30"/>
                <w:szCs w:val="30"/>
              </w:rPr>
              <w:t>100分</w:t>
            </w:r>
          </w:p>
        </w:tc>
        <w:tc>
          <w:tcPr>
            <w:tcW w:w="4004" w:type="dxa"/>
            <w:noWrap w:val="0"/>
            <w:vAlign w:val="center"/>
          </w:tcPr>
          <w:p w14:paraId="4F750DC6">
            <w:pPr>
              <w:tabs>
                <w:tab w:val="left" w:pos="622"/>
              </w:tabs>
              <w:jc w:val="center"/>
              <w:rPr>
                <w:rFonts w:hint="eastAsia" w:ascii="宋体" w:hAnsi="宋体"/>
                <w:sz w:val="24"/>
              </w:rPr>
            </w:pPr>
          </w:p>
        </w:tc>
        <w:tc>
          <w:tcPr>
            <w:tcW w:w="1575" w:type="dxa"/>
            <w:noWrap w:val="0"/>
            <w:vAlign w:val="center"/>
          </w:tcPr>
          <w:p w14:paraId="2ECBC87A">
            <w:pPr>
              <w:tabs>
                <w:tab w:val="left" w:pos="622"/>
              </w:tabs>
              <w:jc w:val="center"/>
              <w:rPr>
                <w:rFonts w:hint="eastAsia" w:ascii="宋体" w:hAnsi="宋体"/>
                <w:sz w:val="24"/>
              </w:rPr>
            </w:pPr>
          </w:p>
        </w:tc>
      </w:tr>
    </w:tbl>
    <w:p w14:paraId="1334E40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14:paraId="713A25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14:paraId="5BD489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14:paraId="4964DE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4D14B4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名中标候选人，并编写比选报告。评审得分相同的，由评审小组磋商确定中标候选人。</w:t>
      </w:r>
    </w:p>
    <w:p w14:paraId="2F5723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14:paraId="77E3EE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zh-CN" w:eastAsia="zh-CN"/>
        </w:rPr>
        <w:t>程序继续进行。对比选报告有异议的评审小组成员，应当在报告上签署不同意见并说明理由。</w:t>
      </w:r>
    </w:p>
    <w:p w14:paraId="23E470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评审小组成员拒绝在报告上签字又不书面说明其不同意见和理由的，视为同意比选报告。</w:t>
      </w:r>
    </w:p>
    <w:p w14:paraId="4850018F">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9E98789">
      <w:pPr>
        <w:pStyle w:val="11"/>
        <w:rPr>
          <w:rFonts w:hint="eastAsia" w:ascii="仿宋" w:hAnsi="仿宋" w:eastAsia="仿宋" w:cs="仿宋"/>
          <w:b/>
          <w:bCs/>
          <w:color w:val="auto"/>
          <w:sz w:val="40"/>
          <w:szCs w:val="40"/>
          <w:shd w:val="clear" w:color="050000" w:fill="auto"/>
        </w:rPr>
      </w:pPr>
    </w:p>
    <w:p w14:paraId="74772FC7">
      <w:pPr>
        <w:spacing w:line="360" w:lineRule="auto"/>
        <w:jc w:val="center"/>
        <w:rPr>
          <w:rFonts w:hint="eastAsia" w:ascii="仿宋" w:hAnsi="仿宋" w:eastAsia="仿宋" w:cs="仿宋"/>
          <w:b/>
          <w:color w:val="auto"/>
          <w:sz w:val="40"/>
          <w:szCs w:val="40"/>
          <w:shd w:val="clear" w:color="060000" w:fill="auto"/>
        </w:rPr>
      </w:pPr>
    </w:p>
    <w:p w14:paraId="3E6CB62A">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1A0D1AC">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7478583F">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74185203"/>
      <w:bookmarkStart w:id="8" w:name="_Toc186274126"/>
    </w:p>
    <w:p w14:paraId="3A20C8F3">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4B48A05E">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rPr>
        <w:t>许昌建投正能热力有限公司</w:t>
      </w:r>
      <w:r>
        <w:rPr>
          <w:rFonts w:hint="eastAsia" w:ascii="方正小标宋简体" w:hAnsi="方正小标宋简体" w:eastAsia="方正小标宋简体" w:cs="方正小标宋简体"/>
          <w:b w:val="0"/>
          <w:bCs w:val="0"/>
          <w:sz w:val="40"/>
          <w:szCs w:val="40"/>
          <w:lang w:val="en-US" w:eastAsia="zh-CN"/>
        </w:rPr>
        <w:t>关于对其名下</w:t>
      </w:r>
    </w:p>
    <w:p w14:paraId="68A1A2E7">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lang w:val="en-US" w:eastAsia="zh-CN"/>
        </w:rPr>
        <w:t>相关设备资产评估服务</w:t>
      </w:r>
    </w:p>
    <w:p w14:paraId="33363213">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11250A53">
      <w:pPr>
        <w:jc w:val="center"/>
        <w:rPr>
          <w:rFonts w:hint="eastAsia" w:ascii="仿宋" w:hAnsi="仿宋" w:eastAsia="仿宋" w:cs="仿宋"/>
          <w:color w:val="auto"/>
          <w:sz w:val="28"/>
          <w:szCs w:val="28"/>
          <w:shd w:val="clear" w:color="050000" w:fill="auto"/>
        </w:rPr>
      </w:pPr>
    </w:p>
    <w:p w14:paraId="200017DB">
      <w:pPr>
        <w:jc w:val="center"/>
        <w:rPr>
          <w:rFonts w:hint="eastAsia" w:ascii="仿宋" w:hAnsi="仿宋" w:eastAsia="仿宋" w:cs="仿宋"/>
          <w:color w:val="auto"/>
          <w:sz w:val="28"/>
          <w:szCs w:val="28"/>
          <w:shd w:val="clear" w:color="050000" w:fill="auto"/>
        </w:rPr>
      </w:pPr>
    </w:p>
    <w:p w14:paraId="711C6448">
      <w:pPr>
        <w:rPr>
          <w:rFonts w:hint="eastAsia" w:ascii="仿宋" w:hAnsi="仿宋" w:eastAsia="仿宋" w:cs="仿宋"/>
          <w:color w:val="auto"/>
          <w:sz w:val="28"/>
          <w:szCs w:val="28"/>
          <w:shd w:val="clear" w:color="050000" w:fill="auto"/>
        </w:rPr>
      </w:pPr>
    </w:p>
    <w:p w14:paraId="4944578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3A87C0C2">
      <w:pPr>
        <w:pStyle w:val="2"/>
        <w:numPr>
          <w:ilvl w:val="1"/>
          <w:numId w:val="0"/>
        </w:numPr>
        <w:rPr>
          <w:rFonts w:hint="eastAsia" w:ascii="仿宋" w:hAnsi="仿宋" w:eastAsia="仿宋" w:cs="仿宋"/>
          <w:sz w:val="32"/>
          <w:szCs w:val="32"/>
        </w:rPr>
      </w:pPr>
    </w:p>
    <w:p w14:paraId="49C9E048">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0A337782">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355FCEF0">
      <w:pPr>
        <w:pStyle w:val="9"/>
        <w:spacing w:line="360" w:lineRule="auto"/>
        <w:jc w:val="center"/>
        <w:rPr>
          <w:rFonts w:hint="eastAsia" w:ascii="仿宋" w:hAnsi="仿宋" w:eastAsia="仿宋" w:cs="仿宋"/>
          <w:b/>
          <w:snapToGrid w:val="0"/>
          <w:color w:val="auto"/>
          <w:kern w:val="0"/>
          <w:sz w:val="36"/>
          <w:szCs w:val="36"/>
          <w:lang w:val="zh-CN" w:eastAsia="zh-CN"/>
        </w:rPr>
      </w:pPr>
    </w:p>
    <w:p w14:paraId="341E4D10">
      <w:pPr>
        <w:pStyle w:val="9"/>
        <w:spacing w:line="360" w:lineRule="auto"/>
        <w:jc w:val="center"/>
        <w:rPr>
          <w:rFonts w:hint="eastAsia" w:ascii="仿宋" w:hAnsi="仿宋" w:eastAsia="仿宋" w:cs="仿宋"/>
          <w:b/>
          <w:snapToGrid w:val="0"/>
          <w:color w:val="auto"/>
          <w:kern w:val="0"/>
          <w:sz w:val="36"/>
          <w:szCs w:val="36"/>
          <w:lang w:val="zh-CN" w:eastAsia="zh-CN"/>
        </w:rPr>
      </w:pPr>
    </w:p>
    <w:p w14:paraId="10359B2D">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00EB8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06949B86">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733C2E7F">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5EF15AA3">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4D5D47DC">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777AAA76">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239A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8F0502A">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D63E890">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4F89893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04CB8B5F">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84171D8">
            <w:pPr>
              <w:snapToGrid w:val="0"/>
              <w:spacing w:line="540" w:lineRule="exact"/>
              <w:rPr>
                <w:rFonts w:hint="eastAsia" w:ascii="仿宋" w:hAnsi="仿宋" w:eastAsia="仿宋" w:cs="仿宋"/>
                <w:color w:val="auto"/>
                <w:sz w:val="22"/>
                <w:szCs w:val="22"/>
                <w:highlight w:val="none"/>
              </w:rPr>
            </w:pPr>
          </w:p>
        </w:tc>
      </w:tr>
      <w:tr w14:paraId="318DC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ACF75C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55B83C5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029B0CB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685E6F8">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DB99966">
            <w:pPr>
              <w:snapToGrid w:val="0"/>
              <w:spacing w:line="540" w:lineRule="exact"/>
              <w:rPr>
                <w:rFonts w:hint="eastAsia" w:ascii="仿宋" w:hAnsi="仿宋" w:eastAsia="仿宋" w:cs="仿宋"/>
                <w:color w:val="auto"/>
                <w:sz w:val="22"/>
                <w:szCs w:val="22"/>
                <w:highlight w:val="none"/>
              </w:rPr>
            </w:pPr>
          </w:p>
        </w:tc>
      </w:tr>
      <w:tr w14:paraId="5B38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669FB20">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02E58DB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514C82F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0D0410C3">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C7E3046">
            <w:pPr>
              <w:snapToGrid w:val="0"/>
              <w:spacing w:line="540" w:lineRule="exact"/>
              <w:rPr>
                <w:rFonts w:hint="eastAsia" w:ascii="仿宋" w:hAnsi="仿宋" w:eastAsia="仿宋" w:cs="仿宋"/>
                <w:color w:val="auto"/>
                <w:sz w:val="22"/>
                <w:szCs w:val="22"/>
                <w:highlight w:val="none"/>
              </w:rPr>
            </w:pPr>
          </w:p>
        </w:tc>
      </w:tr>
      <w:tr w14:paraId="2CC3C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C4147AA">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4437418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583" w:type="dxa"/>
            <w:vAlign w:val="center"/>
          </w:tcPr>
          <w:p w14:paraId="29A99C2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2876B4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6E9E661B">
            <w:pPr>
              <w:snapToGrid w:val="0"/>
              <w:spacing w:line="540" w:lineRule="exact"/>
              <w:rPr>
                <w:rFonts w:hint="eastAsia" w:ascii="仿宋" w:hAnsi="仿宋" w:eastAsia="仿宋" w:cs="仿宋"/>
                <w:color w:val="auto"/>
                <w:sz w:val="22"/>
                <w:szCs w:val="22"/>
                <w:highlight w:val="none"/>
              </w:rPr>
            </w:pPr>
          </w:p>
        </w:tc>
      </w:tr>
      <w:tr w14:paraId="28CC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B0963B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2268D192">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72B54D56">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4BB3D5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9C60E15">
            <w:pPr>
              <w:snapToGrid w:val="0"/>
              <w:spacing w:line="540" w:lineRule="exact"/>
              <w:rPr>
                <w:rFonts w:hint="eastAsia" w:ascii="仿宋" w:hAnsi="仿宋" w:eastAsia="仿宋" w:cs="仿宋"/>
                <w:color w:val="auto"/>
                <w:sz w:val="22"/>
                <w:szCs w:val="22"/>
                <w:highlight w:val="none"/>
              </w:rPr>
            </w:pPr>
          </w:p>
        </w:tc>
      </w:tr>
      <w:tr w14:paraId="02E15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0F71D95">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0217E6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13BF5A3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6FA484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B92FA53">
            <w:pPr>
              <w:snapToGrid w:val="0"/>
              <w:spacing w:line="540" w:lineRule="exact"/>
              <w:rPr>
                <w:rFonts w:hint="eastAsia" w:ascii="仿宋" w:hAnsi="仿宋" w:eastAsia="仿宋" w:cs="仿宋"/>
                <w:color w:val="auto"/>
                <w:sz w:val="22"/>
                <w:szCs w:val="22"/>
                <w:highlight w:val="none"/>
              </w:rPr>
            </w:pPr>
          </w:p>
        </w:tc>
      </w:tr>
      <w:tr w14:paraId="66FD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5F1C73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1C79730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08AABCD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7DA4B1">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90A4696">
            <w:pPr>
              <w:snapToGrid w:val="0"/>
              <w:spacing w:line="540" w:lineRule="exact"/>
              <w:rPr>
                <w:rFonts w:hint="eastAsia" w:ascii="仿宋" w:hAnsi="仿宋" w:eastAsia="仿宋" w:cs="仿宋"/>
                <w:color w:val="auto"/>
                <w:sz w:val="22"/>
                <w:szCs w:val="22"/>
                <w:highlight w:val="none"/>
              </w:rPr>
            </w:pPr>
          </w:p>
        </w:tc>
      </w:tr>
      <w:tr w14:paraId="20412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02CF10D">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331CC4BC">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3D352E6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D8E734C">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9D68DA0">
            <w:pPr>
              <w:snapToGrid w:val="0"/>
              <w:spacing w:line="540" w:lineRule="exact"/>
              <w:rPr>
                <w:rFonts w:hint="eastAsia" w:ascii="仿宋" w:hAnsi="仿宋" w:eastAsia="仿宋" w:cs="仿宋"/>
                <w:color w:val="auto"/>
                <w:sz w:val="22"/>
                <w:szCs w:val="22"/>
                <w:highlight w:val="none"/>
              </w:rPr>
            </w:pPr>
          </w:p>
        </w:tc>
      </w:tr>
      <w:tr w14:paraId="60C8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6A3DBA6">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4B81EC69">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评估证明材料</w:t>
            </w:r>
          </w:p>
        </w:tc>
        <w:tc>
          <w:tcPr>
            <w:tcW w:w="1583" w:type="dxa"/>
            <w:vAlign w:val="center"/>
          </w:tcPr>
          <w:p w14:paraId="2A65CCD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1E3E88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8D29B1A">
            <w:pPr>
              <w:snapToGrid w:val="0"/>
              <w:spacing w:line="540" w:lineRule="exact"/>
              <w:rPr>
                <w:rFonts w:hint="eastAsia" w:ascii="仿宋" w:hAnsi="仿宋" w:eastAsia="仿宋" w:cs="仿宋"/>
                <w:color w:val="auto"/>
                <w:sz w:val="22"/>
                <w:szCs w:val="22"/>
                <w:highlight w:val="none"/>
              </w:rPr>
            </w:pPr>
          </w:p>
        </w:tc>
      </w:tr>
      <w:tr w14:paraId="0B958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670A3798">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3CDEFEC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07F24CD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79645B4">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D7DA1A0">
            <w:pPr>
              <w:snapToGrid w:val="0"/>
              <w:spacing w:line="540" w:lineRule="exact"/>
              <w:rPr>
                <w:rFonts w:hint="eastAsia" w:ascii="仿宋" w:hAnsi="仿宋" w:eastAsia="仿宋" w:cs="仿宋"/>
                <w:color w:val="auto"/>
                <w:sz w:val="22"/>
                <w:szCs w:val="22"/>
                <w:highlight w:val="none"/>
              </w:rPr>
            </w:pPr>
          </w:p>
        </w:tc>
      </w:tr>
    </w:tbl>
    <w:p w14:paraId="43D228B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137C1DB4">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1542731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0E070015">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782260B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47E80F0">
      <w:pPr>
        <w:pStyle w:val="14"/>
        <w:rPr>
          <w:rFonts w:hint="eastAsia" w:ascii="仿宋" w:hAnsi="仿宋" w:eastAsia="仿宋" w:cs="仿宋"/>
          <w:color w:val="auto"/>
          <w:sz w:val="24"/>
          <w:szCs w:val="24"/>
        </w:rPr>
      </w:pPr>
    </w:p>
    <w:p w14:paraId="6A32F2C5">
      <w:pPr>
        <w:pStyle w:val="15"/>
        <w:rPr>
          <w:rFonts w:hint="eastAsia" w:ascii="仿宋" w:hAnsi="仿宋" w:eastAsia="仿宋" w:cs="仿宋"/>
          <w:color w:val="auto"/>
          <w:sz w:val="24"/>
          <w:szCs w:val="24"/>
        </w:rPr>
      </w:pPr>
    </w:p>
    <w:p w14:paraId="058FC07D">
      <w:pPr>
        <w:rPr>
          <w:rFonts w:hint="eastAsia" w:ascii="仿宋" w:hAnsi="仿宋" w:eastAsia="仿宋" w:cs="仿宋"/>
          <w:color w:val="auto"/>
          <w:sz w:val="24"/>
          <w:szCs w:val="24"/>
        </w:rPr>
      </w:pPr>
    </w:p>
    <w:p w14:paraId="648B31E0">
      <w:pPr>
        <w:pStyle w:val="14"/>
        <w:rPr>
          <w:rFonts w:hint="eastAsia" w:ascii="仿宋" w:hAnsi="仿宋" w:eastAsia="仿宋" w:cs="仿宋"/>
          <w:color w:val="auto"/>
          <w:sz w:val="24"/>
          <w:szCs w:val="24"/>
        </w:rPr>
      </w:pPr>
    </w:p>
    <w:p w14:paraId="643464F5">
      <w:pPr>
        <w:pStyle w:val="15"/>
        <w:rPr>
          <w:rFonts w:hint="eastAsia" w:ascii="仿宋" w:hAnsi="仿宋" w:eastAsia="仿宋" w:cs="仿宋"/>
          <w:color w:val="auto"/>
          <w:sz w:val="24"/>
          <w:szCs w:val="24"/>
        </w:rPr>
      </w:pPr>
    </w:p>
    <w:p w14:paraId="1584F346">
      <w:pPr>
        <w:pStyle w:val="12"/>
        <w:rPr>
          <w:rFonts w:hint="eastAsia" w:ascii="仿宋" w:hAnsi="仿宋" w:eastAsia="仿宋" w:cs="仿宋"/>
          <w:color w:val="auto"/>
          <w:sz w:val="24"/>
          <w:szCs w:val="24"/>
        </w:rPr>
      </w:pPr>
    </w:p>
    <w:p w14:paraId="60CC4543">
      <w:pPr>
        <w:pStyle w:val="12"/>
        <w:rPr>
          <w:rFonts w:hint="eastAsia" w:ascii="仿宋" w:hAnsi="仿宋" w:eastAsia="仿宋" w:cs="仿宋"/>
          <w:color w:val="auto"/>
          <w:sz w:val="24"/>
          <w:szCs w:val="24"/>
        </w:rPr>
      </w:pPr>
    </w:p>
    <w:p w14:paraId="2E16788C">
      <w:pPr>
        <w:pStyle w:val="12"/>
        <w:rPr>
          <w:rFonts w:hint="eastAsia" w:ascii="仿宋" w:hAnsi="仿宋" w:eastAsia="仿宋" w:cs="仿宋"/>
          <w:color w:val="auto"/>
          <w:sz w:val="24"/>
          <w:szCs w:val="24"/>
        </w:rPr>
      </w:pPr>
    </w:p>
    <w:p w14:paraId="7D3E529D">
      <w:pPr>
        <w:pStyle w:val="12"/>
        <w:rPr>
          <w:rFonts w:hint="eastAsia" w:ascii="仿宋" w:hAnsi="仿宋" w:eastAsia="仿宋" w:cs="仿宋"/>
          <w:color w:val="auto"/>
          <w:sz w:val="24"/>
          <w:szCs w:val="24"/>
        </w:rPr>
      </w:pPr>
    </w:p>
    <w:p w14:paraId="4D5912D8">
      <w:pPr>
        <w:pStyle w:val="15"/>
        <w:rPr>
          <w:rFonts w:hint="eastAsia" w:ascii="仿宋" w:hAnsi="仿宋" w:eastAsia="仿宋" w:cs="仿宋"/>
          <w:color w:val="auto"/>
          <w:sz w:val="24"/>
          <w:szCs w:val="24"/>
        </w:rPr>
      </w:pPr>
    </w:p>
    <w:p w14:paraId="584A133A">
      <w:pPr>
        <w:pStyle w:val="12"/>
        <w:rPr>
          <w:rFonts w:hint="eastAsia"/>
        </w:rPr>
      </w:pPr>
    </w:p>
    <w:p w14:paraId="0B82C524">
      <w:pPr>
        <w:rPr>
          <w:rFonts w:hint="eastAsia" w:ascii="仿宋" w:hAnsi="仿宋" w:eastAsia="仿宋" w:cs="仿宋"/>
          <w:color w:val="auto"/>
          <w:sz w:val="24"/>
          <w:szCs w:val="24"/>
        </w:rPr>
      </w:pPr>
    </w:p>
    <w:p w14:paraId="60644FA7">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008CADAC">
      <w:pPr>
        <w:pStyle w:val="9"/>
        <w:spacing w:line="360" w:lineRule="auto"/>
        <w:jc w:val="center"/>
        <w:rPr>
          <w:rFonts w:hint="eastAsia" w:ascii="仿宋" w:hAnsi="仿宋" w:eastAsia="仿宋" w:cs="仿宋"/>
          <w:b/>
          <w:snapToGrid w:val="0"/>
          <w:color w:val="auto"/>
          <w:kern w:val="0"/>
          <w:sz w:val="24"/>
          <w:szCs w:val="24"/>
        </w:rPr>
      </w:pPr>
    </w:p>
    <w:p w14:paraId="6ADD9E8A">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13DDB5B">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67B65F7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22E51937">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3F01D67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3E37F490">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06BB960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465B298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1133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6936772D">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1F5B8B6A">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78CBDF8D">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73FAFB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7B21B1B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FAF2CD">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19631C3A">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7F95FBE3">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64221221">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3CB278D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8010033">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70EB539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FDB12B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027FCCD5">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D5CA1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0C8C70C">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5B5976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775802C">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2EFCD293">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2A341B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52A77C60">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2BAEFBFC">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65E37B86">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105BC485">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46E9D627">
      <w:pPr>
        <w:autoSpaceDE w:val="0"/>
        <w:autoSpaceDN w:val="0"/>
        <w:adjustRightInd w:val="0"/>
        <w:spacing w:line="480" w:lineRule="auto"/>
        <w:rPr>
          <w:rFonts w:hint="eastAsia" w:ascii="仿宋" w:hAnsi="仿宋" w:eastAsia="仿宋" w:cs="仿宋"/>
          <w:color w:val="auto"/>
          <w:sz w:val="24"/>
          <w:szCs w:val="24"/>
          <w:lang w:val="zh-CN"/>
        </w:rPr>
      </w:pPr>
    </w:p>
    <w:p w14:paraId="45F9E9A3">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6AFA7E79">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6F72A219">
      <w:pPr>
        <w:autoSpaceDE w:val="0"/>
        <w:autoSpaceDN w:val="0"/>
        <w:adjustRightInd w:val="0"/>
        <w:spacing w:line="360" w:lineRule="auto"/>
        <w:rPr>
          <w:rFonts w:hint="eastAsia" w:ascii="仿宋" w:hAnsi="仿宋" w:eastAsia="仿宋" w:cs="仿宋"/>
          <w:color w:val="auto"/>
          <w:sz w:val="24"/>
          <w:szCs w:val="24"/>
          <w:lang w:val="zh-CN"/>
        </w:rPr>
      </w:pPr>
    </w:p>
    <w:p w14:paraId="053D40F0">
      <w:pPr>
        <w:autoSpaceDE w:val="0"/>
        <w:autoSpaceDN w:val="0"/>
        <w:adjustRightInd w:val="0"/>
        <w:spacing w:line="360" w:lineRule="auto"/>
        <w:rPr>
          <w:rFonts w:hint="eastAsia" w:ascii="仿宋" w:hAnsi="仿宋" w:eastAsia="仿宋" w:cs="仿宋"/>
          <w:color w:val="auto"/>
          <w:sz w:val="24"/>
          <w:szCs w:val="24"/>
          <w:lang w:val="zh-CN"/>
        </w:rPr>
      </w:pPr>
    </w:p>
    <w:p w14:paraId="010F4B3F">
      <w:pPr>
        <w:autoSpaceDE w:val="0"/>
        <w:autoSpaceDN w:val="0"/>
        <w:adjustRightInd w:val="0"/>
        <w:spacing w:line="360" w:lineRule="auto"/>
        <w:rPr>
          <w:rFonts w:hint="eastAsia" w:ascii="仿宋" w:hAnsi="仿宋" w:eastAsia="仿宋" w:cs="仿宋"/>
          <w:color w:val="auto"/>
          <w:sz w:val="24"/>
          <w:szCs w:val="24"/>
          <w:lang w:val="zh-CN"/>
        </w:rPr>
      </w:pPr>
    </w:p>
    <w:p w14:paraId="14F8BC26">
      <w:pPr>
        <w:autoSpaceDE w:val="0"/>
        <w:autoSpaceDN w:val="0"/>
        <w:adjustRightInd w:val="0"/>
        <w:spacing w:line="360" w:lineRule="auto"/>
        <w:rPr>
          <w:rFonts w:hint="eastAsia" w:ascii="仿宋" w:hAnsi="仿宋" w:eastAsia="仿宋" w:cs="仿宋"/>
          <w:color w:val="auto"/>
          <w:sz w:val="24"/>
          <w:szCs w:val="24"/>
          <w:lang w:val="zh-CN"/>
        </w:rPr>
      </w:pPr>
    </w:p>
    <w:p w14:paraId="46EFE8D0">
      <w:pPr>
        <w:pStyle w:val="2"/>
        <w:numPr>
          <w:ilvl w:val="1"/>
          <w:numId w:val="0"/>
        </w:numPr>
        <w:rPr>
          <w:rFonts w:hint="eastAsia"/>
          <w:lang w:val="zh-CN"/>
        </w:rPr>
      </w:pPr>
    </w:p>
    <w:p w14:paraId="6A2AAC3C">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593315D7">
      <w:pPr>
        <w:pStyle w:val="14"/>
        <w:rPr>
          <w:rFonts w:hint="eastAsia" w:ascii="仿宋" w:hAnsi="仿宋" w:eastAsia="仿宋" w:cs="仿宋"/>
          <w:color w:val="auto"/>
          <w:sz w:val="24"/>
          <w:szCs w:val="24"/>
          <w:lang w:val="zh-CN"/>
        </w:rPr>
      </w:pPr>
    </w:p>
    <w:p w14:paraId="189406B6">
      <w:pPr>
        <w:spacing w:line="480" w:lineRule="exact"/>
        <w:jc w:val="center"/>
        <w:rPr>
          <w:rFonts w:hint="eastAsia" w:ascii="仿宋" w:hAnsi="仿宋" w:eastAsia="仿宋" w:cs="仿宋"/>
          <w:b/>
          <w:bCs/>
          <w:color w:val="auto"/>
          <w:sz w:val="24"/>
          <w:szCs w:val="24"/>
        </w:rPr>
      </w:pPr>
    </w:p>
    <w:p w14:paraId="38DF3CC0">
      <w:pPr>
        <w:pStyle w:val="9"/>
        <w:spacing w:line="360" w:lineRule="auto"/>
        <w:jc w:val="center"/>
        <w:rPr>
          <w:rFonts w:hint="eastAsia" w:ascii="仿宋" w:hAnsi="仿宋" w:eastAsia="仿宋" w:cs="仿宋"/>
          <w:b/>
          <w:snapToGrid w:val="0"/>
          <w:color w:val="auto"/>
          <w:kern w:val="0"/>
          <w:sz w:val="36"/>
          <w:szCs w:val="36"/>
          <w:lang w:eastAsia="zh-CN"/>
        </w:rPr>
      </w:pPr>
    </w:p>
    <w:p w14:paraId="1BCEE320">
      <w:pPr>
        <w:pStyle w:val="9"/>
        <w:spacing w:line="360" w:lineRule="auto"/>
        <w:jc w:val="center"/>
        <w:rPr>
          <w:rFonts w:hint="eastAsia" w:ascii="仿宋" w:hAnsi="仿宋" w:eastAsia="仿宋" w:cs="仿宋"/>
          <w:b/>
          <w:snapToGrid w:val="0"/>
          <w:color w:val="auto"/>
          <w:kern w:val="0"/>
          <w:sz w:val="36"/>
          <w:szCs w:val="36"/>
          <w:lang w:eastAsia="zh-CN"/>
        </w:rPr>
      </w:pPr>
    </w:p>
    <w:p w14:paraId="491A663E">
      <w:pPr>
        <w:pStyle w:val="9"/>
        <w:spacing w:line="360" w:lineRule="auto"/>
        <w:jc w:val="center"/>
        <w:rPr>
          <w:rFonts w:hint="eastAsia" w:ascii="仿宋" w:hAnsi="仿宋" w:eastAsia="仿宋" w:cs="仿宋"/>
          <w:b/>
          <w:snapToGrid w:val="0"/>
          <w:color w:val="auto"/>
          <w:kern w:val="0"/>
          <w:sz w:val="36"/>
          <w:szCs w:val="36"/>
          <w:lang w:eastAsia="zh-CN"/>
        </w:rPr>
      </w:pPr>
    </w:p>
    <w:p w14:paraId="685CBE60">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2033195A">
      <w:pPr>
        <w:jc w:val="left"/>
        <w:rPr>
          <w:rFonts w:hint="eastAsia" w:ascii="仿宋" w:hAnsi="仿宋" w:eastAsia="仿宋" w:cs="仿宋"/>
          <w:b/>
          <w:bCs/>
          <w:color w:val="auto"/>
          <w:sz w:val="24"/>
          <w:szCs w:val="24"/>
        </w:rPr>
      </w:pPr>
    </w:p>
    <w:p w14:paraId="6584AE52">
      <w:pPr>
        <w:jc w:val="center"/>
        <w:rPr>
          <w:rFonts w:hint="eastAsia" w:ascii="仿宋" w:hAnsi="仿宋" w:eastAsia="仿宋" w:cs="仿宋"/>
          <w:b/>
          <w:bCs/>
          <w:color w:val="auto"/>
          <w:sz w:val="24"/>
          <w:szCs w:val="24"/>
          <w:lang w:val="en-US" w:eastAsia="zh-CN"/>
        </w:rPr>
      </w:pPr>
    </w:p>
    <w:p w14:paraId="2507117F">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附营业执照等（或评估认证机构执业许可材料）</w:t>
      </w:r>
    </w:p>
    <w:p w14:paraId="6D673870">
      <w:pPr>
        <w:jc w:val="left"/>
        <w:rPr>
          <w:rFonts w:hint="eastAsia" w:ascii="仿宋" w:hAnsi="仿宋" w:eastAsia="仿宋" w:cs="仿宋"/>
          <w:b/>
          <w:bCs/>
          <w:color w:val="auto"/>
          <w:sz w:val="32"/>
          <w:szCs w:val="32"/>
        </w:rPr>
      </w:pPr>
    </w:p>
    <w:p w14:paraId="38812E91">
      <w:pPr>
        <w:jc w:val="left"/>
        <w:rPr>
          <w:rFonts w:hint="eastAsia" w:ascii="仿宋" w:hAnsi="仿宋" w:eastAsia="仿宋" w:cs="仿宋"/>
          <w:b/>
          <w:bCs/>
          <w:color w:val="auto"/>
          <w:sz w:val="32"/>
          <w:szCs w:val="32"/>
        </w:rPr>
      </w:pPr>
    </w:p>
    <w:p w14:paraId="2AB39479">
      <w:pPr>
        <w:jc w:val="left"/>
        <w:rPr>
          <w:rFonts w:hint="eastAsia" w:ascii="仿宋" w:hAnsi="仿宋" w:eastAsia="仿宋" w:cs="仿宋"/>
          <w:b/>
          <w:bCs/>
          <w:color w:val="auto"/>
          <w:sz w:val="32"/>
          <w:szCs w:val="32"/>
        </w:rPr>
      </w:pPr>
    </w:p>
    <w:p w14:paraId="0E60D23A">
      <w:pPr>
        <w:jc w:val="left"/>
        <w:rPr>
          <w:rFonts w:hint="eastAsia" w:ascii="仿宋" w:hAnsi="仿宋" w:eastAsia="仿宋" w:cs="仿宋"/>
          <w:b/>
          <w:bCs/>
          <w:color w:val="auto"/>
          <w:sz w:val="24"/>
          <w:szCs w:val="24"/>
        </w:rPr>
      </w:pPr>
    </w:p>
    <w:p w14:paraId="41A86818">
      <w:pPr>
        <w:jc w:val="left"/>
        <w:rPr>
          <w:rFonts w:hint="eastAsia" w:ascii="仿宋" w:hAnsi="仿宋" w:eastAsia="仿宋" w:cs="仿宋"/>
          <w:b/>
          <w:bCs/>
          <w:color w:val="auto"/>
          <w:sz w:val="24"/>
          <w:szCs w:val="24"/>
        </w:rPr>
      </w:pPr>
    </w:p>
    <w:p w14:paraId="76F3C007">
      <w:pPr>
        <w:jc w:val="left"/>
        <w:rPr>
          <w:rFonts w:hint="eastAsia" w:ascii="仿宋" w:hAnsi="仿宋" w:eastAsia="仿宋" w:cs="仿宋"/>
          <w:b/>
          <w:bCs/>
          <w:color w:val="auto"/>
          <w:sz w:val="24"/>
          <w:szCs w:val="24"/>
        </w:rPr>
      </w:pPr>
    </w:p>
    <w:p w14:paraId="35F28414">
      <w:pPr>
        <w:jc w:val="left"/>
        <w:rPr>
          <w:rFonts w:hint="eastAsia" w:ascii="仿宋" w:hAnsi="仿宋" w:eastAsia="仿宋" w:cs="仿宋"/>
          <w:b/>
          <w:bCs/>
          <w:color w:val="auto"/>
          <w:sz w:val="24"/>
          <w:szCs w:val="24"/>
        </w:rPr>
      </w:pPr>
    </w:p>
    <w:p w14:paraId="293B1848">
      <w:pPr>
        <w:jc w:val="left"/>
        <w:rPr>
          <w:rFonts w:hint="eastAsia" w:ascii="仿宋" w:hAnsi="仿宋" w:eastAsia="仿宋" w:cs="仿宋"/>
          <w:b/>
          <w:bCs/>
          <w:color w:val="auto"/>
          <w:sz w:val="24"/>
          <w:szCs w:val="24"/>
        </w:rPr>
      </w:pPr>
    </w:p>
    <w:p w14:paraId="48787907">
      <w:pPr>
        <w:jc w:val="left"/>
        <w:rPr>
          <w:rFonts w:hint="eastAsia" w:ascii="仿宋" w:hAnsi="仿宋" w:eastAsia="仿宋" w:cs="仿宋"/>
          <w:b/>
          <w:bCs/>
          <w:color w:val="auto"/>
          <w:sz w:val="24"/>
          <w:szCs w:val="24"/>
        </w:rPr>
      </w:pPr>
    </w:p>
    <w:p w14:paraId="078BBEB9">
      <w:pPr>
        <w:jc w:val="left"/>
        <w:rPr>
          <w:rFonts w:hint="eastAsia" w:ascii="仿宋" w:hAnsi="仿宋" w:eastAsia="仿宋" w:cs="仿宋"/>
          <w:b/>
          <w:bCs/>
          <w:color w:val="auto"/>
          <w:sz w:val="24"/>
          <w:szCs w:val="24"/>
        </w:rPr>
      </w:pPr>
    </w:p>
    <w:p w14:paraId="0536A32D">
      <w:pPr>
        <w:jc w:val="left"/>
        <w:rPr>
          <w:rFonts w:hint="eastAsia" w:ascii="仿宋" w:hAnsi="仿宋" w:eastAsia="仿宋" w:cs="仿宋"/>
          <w:b/>
          <w:bCs/>
          <w:color w:val="auto"/>
          <w:sz w:val="24"/>
          <w:szCs w:val="24"/>
        </w:rPr>
      </w:pPr>
    </w:p>
    <w:p w14:paraId="0CE62A5C">
      <w:pPr>
        <w:jc w:val="left"/>
        <w:rPr>
          <w:rFonts w:hint="eastAsia" w:ascii="仿宋" w:hAnsi="仿宋" w:eastAsia="仿宋" w:cs="仿宋"/>
          <w:b/>
          <w:bCs/>
          <w:color w:val="auto"/>
          <w:sz w:val="24"/>
          <w:szCs w:val="24"/>
        </w:rPr>
      </w:pPr>
    </w:p>
    <w:p w14:paraId="1315C884">
      <w:pPr>
        <w:jc w:val="left"/>
        <w:rPr>
          <w:rFonts w:hint="eastAsia" w:ascii="仿宋" w:hAnsi="仿宋" w:eastAsia="仿宋" w:cs="仿宋"/>
          <w:b/>
          <w:bCs/>
          <w:color w:val="auto"/>
          <w:sz w:val="24"/>
          <w:szCs w:val="24"/>
        </w:rPr>
      </w:pPr>
    </w:p>
    <w:p w14:paraId="4860B686">
      <w:pPr>
        <w:jc w:val="left"/>
        <w:rPr>
          <w:rFonts w:hint="eastAsia" w:ascii="仿宋" w:hAnsi="仿宋" w:eastAsia="仿宋" w:cs="仿宋"/>
          <w:b/>
          <w:bCs/>
          <w:color w:val="auto"/>
          <w:sz w:val="24"/>
          <w:szCs w:val="24"/>
        </w:rPr>
      </w:pPr>
    </w:p>
    <w:p w14:paraId="7F94CED5">
      <w:pPr>
        <w:jc w:val="left"/>
        <w:rPr>
          <w:rFonts w:hint="eastAsia" w:ascii="仿宋" w:hAnsi="仿宋" w:eastAsia="仿宋" w:cs="仿宋"/>
          <w:b/>
          <w:bCs/>
          <w:color w:val="auto"/>
          <w:sz w:val="24"/>
          <w:szCs w:val="24"/>
        </w:rPr>
      </w:pPr>
    </w:p>
    <w:p w14:paraId="20A35037">
      <w:pPr>
        <w:jc w:val="left"/>
        <w:rPr>
          <w:rFonts w:hint="eastAsia" w:ascii="仿宋" w:hAnsi="仿宋" w:eastAsia="仿宋" w:cs="仿宋"/>
          <w:b/>
          <w:bCs/>
          <w:color w:val="auto"/>
          <w:sz w:val="24"/>
          <w:szCs w:val="24"/>
        </w:rPr>
      </w:pPr>
    </w:p>
    <w:p w14:paraId="4FCCFEE1">
      <w:pPr>
        <w:jc w:val="left"/>
        <w:rPr>
          <w:rFonts w:hint="eastAsia" w:ascii="仿宋" w:hAnsi="仿宋" w:eastAsia="仿宋" w:cs="仿宋"/>
          <w:b/>
          <w:bCs/>
          <w:color w:val="auto"/>
          <w:sz w:val="24"/>
          <w:szCs w:val="24"/>
        </w:rPr>
      </w:pPr>
    </w:p>
    <w:p w14:paraId="53D93261">
      <w:pPr>
        <w:jc w:val="left"/>
        <w:rPr>
          <w:rFonts w:hint="eastAsia" w:ascii="仿宋" w:hAnsi="仿宋" w:eastAsia="仿宋" w:cs="仿宋"/>
          <w:b/>
          <w:bCs/>
          <w:color w:val="auto"/>
          <w:sz w:val="24"/>
          <w:szCs w:val="24"/>
        </w:rPr>
      </w:pPr>
    </w:p>
    <w:p w14:paraId="0A57DE22">
      <w:pPr>
        <w:jc w:val="left"/>
        <w:rPr>
          <w:rFonts w:hint="eastAsia" w:ascii="仿宋" w:hAnsi="仿宋" w:eastAsia="仿宋" w:cs="仿宋"/>
          <w:b/>
          <w:bCs/>
          <w:color w:val="auto"/>
          <w:sz w:val="24"/>
          <w:szCs w:val="24"/>
        </w:rPr>
      </w:pPr>
    </w:p>
    <w:p w14:paraId="04275254">
      <w:pPr>
        <w:jc w:val="left"/>
        <w:rPr>
          <w:rFonts w:hint="eastAsia" w:ascii="仿宋" w:hAnsi="仿宋" w:eastAsia="仿宋" w:cs="仿宋"/>
          <w:b/>
          <w:bCs/>
          <w:color w:val="auto"/>
          <w:sz w:val="24"/>
          <w:szCs w:val="24"/>
        </w:rPr>
      </w:pPr>
    </w:p>
    <w:p w14:paraId="79959532">
      <w:pPr>
        <w:jc w:val="left"/>
        <w:rPr>
          <w:rFonts w:hint="eastAsia" w:ascii="仿宋" w:hAnsi="仿宋" w:eastAsia="仿宋" w:cs="仿宋"/>
          <w:b/>
          <w:bCs/>
          <w:color w:val="auto"/>
          <w:sz w:val="24"/>
          <w:szCs w:val="24"/>
        </w:rPr>
      </w:pPr>
    </w:p>
    <w:p w14:paraId="4FDD046E">
      <w:pPr>
        <w:jc w:val="left"/>
        <w:rPr>
          <w:rFonts w:hint="eastAsia" w:ascii="仿宋" w:hAnsi="仿宋" w:eastAsia="仿宋" w:cs="仿宋"/>
          <w:b/>
          <w:bCs/>
          <w:color w:val="auto"/>
          <w:sz w:val="24"/>
          <w:szCs w:val="24"/>
        </w:rPr>
      </w:pPr>
    </w:p>
    <w:p w14:paraId="6DE8CBD0">
      <w:pPr>
        <w:jc w:val="left"/>
        <w:rPr>
          <w:rFonts w:hint="eastAsia" w:ascii="仿宋" w:hAnsi="仿宋" w:eastAsia="仿宋" w:cs="仿宋"/>
          <w:b/>
          <w:bCs/>
          <w:color w:val="auto"/>
          <w:sz w:val="24"/>
          <w:szCs w:val="24"/>
        </w:rPr>
      </w:pPr>
    </w:p>
    <w:p w14:paraId="78F395DC">
      <w:pPr>
        <w:jc w:val="left"/>
        <w:rPr>
          <w:rFonts w:hint="eastAsia" w:ascii="仿宋" w:hAnsi="仿宋" w:eastAsia="仿宋" w:cs="仿宋"/>
          <w:b/>
          <w:bCs/>
          <w:color w:val="auto"/>
          <w:sz w:val="24"/>
          <w:szCs w:val="24"/>
        </w:rPr>
      </w:pPr>
    </w:p>
    <w:p w14:paraId="7275AA98">
      <w:pPr>
        <w:jc w:val="left"/>
        <w:rPr>
          <w:rFonts w:hint="eastAsia" w:ascii="仿宋" w:hAnsi="仿宋" w:eastAsia="仿宋" w:cs="仿宋"/>
          <w:b/>
          <w:bCs/>
          <w:color w:val="auto"/>
          <w:sz w:val="24"/>
          <w:szCs w:val="24"/>
        </w:rPr>
      </w:pPr>
    </w:p>
    <w:p w14:paraId="4E6BEDB3">
      <w:pPr>
        <w:jc w:val="left"/>
        <w:rPr>
          <w:rFonts w:hint="eastAsia" w:ascii="仿宋" w:hAnsi="仿宋" w:eastAsia="仿宋" w:cs="仿宋"/>
          <w:b/>
          <w:bCs/>
          <w:color w:val="auto"/>
          <w:sz w:val="24"/>
          <w:szCs w:val="24"/>
        </w:rPr>
      </w:pPr>
    </w:p>
    <w:p w14:paraId="6696A3F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0131979D">
      <w:pPr>
        <w:autoSpaceDE w:val="0"/>
        <w:autoSpaceDN w:val="0"/>
        <w:adjustRightInd w:val="0"/>
        <w:spacing w:line="360" w:lineRule="auto"/>
        <w:jc w:val="center"/>
        <w:rPr>
          <w:rFonts w:hint="eastAsia" w:ascii="仿宋" w:hAnsi="仿宋" w:eastAsia="仿宋" w:cs="仿宋"/>
          <w:b/>
          <w:bCs/>
          <w:sz w:val="24"/>
          <w:szCs w:val="24"/>
        </w:rPr>
      </w:pPr>
    </w:p>
    <w:p w14:paraId="3E42A698">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_GB2312" w:hAnsi="仿宋_GB2312" w:eastAsia="仿宋_GB2312" w:cs="仿宋_GB2312"/>
          <w:sz w:val="32"/>
          <w:szCs w:val="32"/>
          <w:u w:val="single"/>
        </w:rPr>
        <w:t>许昌建投正能热力有限公司</w:t>
      </w:r>
      <w:r>
        <w:rPr>
          <w:rFonts w:hint="eastAsia" w:ascii="仿宋" w:hAnsi="仿宋" w:eastAsia="仿宋" w:cs="仿宋"/>
          <w:color w:val="000000"/>
          <w:kern w:val="0"/>
          <w:sz w:val="28"/>
          <w:szCs w:val="28"/>
          <w:lang w:val="en-US" w:eastAsia="zh-CN" w:bidi="ar"/>
        </w:rPr>
        <w:t xml:space="preserve">： </w:t>
      </w:r>
    </w:p>
    <w:p w14:paraId="6A6503C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14:paraId="39A738D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14:paraId="731ECC3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14:paraId="44564686">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14:paraId="6AAB84C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14:paraId="412B4B6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64356A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233DAA1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14:paraId="26F22A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14:paraId="59349E03">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（四）符合评估认证、行政法规规定的其他条件。</w:t>
      </w:r>
    </w:p>
    <w:p w14:paraId="2F6902E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（五）未被中国银行间市场交易商协会取消、暂停会员资格或出现被处罚等影响本次债务融资工具评估认证服务能力的情况。</w:t>
      </w:r>
    </w:p>
    <w:p w14:paraId="60329A5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000000"/>
          <w:kern w:val="0"/>
          <w:sz w:val="28"/>
          <w:szCs w:val="28"/>
          <w:highlight w:val="none"/>
          <w:lang w:val="en-US" w:eastAsia="zh-CN" w:bidi="ar"/>
        </w:rPr>
        <w:t>在两年内禁止参加城投集团及子公司的所有招标（比选）活动</w:t>
      </w:r>
      <w:r>
        <w:rPr>
          <w:rFonts w:hint="eastAsia" w:ascii="仿宋" w:hAnsi="仿宋" w:eastAsia="仿宋" w:cs="仿宋"/>
          <w:color w:val="000000"/>
          <w:kern w:val="0"/>
          <w:sz w:val="28"/>
          <w:szCs w:val="28"/>
          <w:lang w:val="en-US" w:eastAsia="zh-CN" w:bidi="ar"/>
        </w:rPr>
        <w:t xml:space="preserve">。 </w:t>
      </w:r>
    </w:p>
    <w:p w14:paraId="531CF7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14:paraId="786EEA7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6CAACE08">
      <w:pPr>
        <w:jc w:val="center"/>
        <w:rPr>
          <w:rFonts w:hint="eastAsia" w:ascii="仿宋_GB2312" w:hAnsi="仿宋_GB2312" w:eastAsia="仿宋_GB2312" w:cs="仿宋_GB2312"/>
          <w:b/>
          <w:bCs/>
          <w:sz w:val="32"/>
          <w:szCs w:val="32"/>
          <w:lang w:val="en-US" w:eastAsia="zh-CN"/>
        </w:rPr>
      </w:pPr>
    </w:p>
    <w:p w14:paraId="5699716D">
      <w:pPr>
        <w:jc w:val="center"/>
        <w:rPr>
          <w:rFonts w:hint="eastAsia" w:ascii="仿宋_GB2312" w:hAnsi="仿宋_GB2312" w:eastAsia="仿宋_GB2312" w:cs="仿宋_GB2312"/>
          <w:b/>
          <w:bCs/>
          <w:sz w:val="32"/>
          <w:szCs w:val="32"/>
          <w:lang w:val="en-US" w:eastAsia="zh-CN"/>
        </w:rPr>
      </w:pPr>
    </w:p>
    <w:p w14:paraId="48D69E72">
      <w:pPr>
        <w:jc w:val="center"/>
        <w:rPr>
          <w:rFonts w:hint="eastAsia" w:ascii="仿宋_GB2312" w:hAnsi="仿宋_GB2312" w:eastAsia="仿宋_GB2312" w:cs="仿宋_GB2312"/>
          <w:b/>
          <w:bCs/>
          <w:sz w:val="32"/>
          <w:szCs w:val="32"/>
          <w:lang w:val="en-US" w:eastAsia="zh-CN"/>
        </w:rPr>
      </w:pPr>
    </w:p>
    <w:p w14:paraId="4DCF0C8A">
      <w:pPr>
        <w:jc w:val="center"/>
        <w:rPr>
          <w:rFonts w:hint="eastAsia" w:ascii="仿宋_GB2312" w:hAnsi="仿宋_GB2312" w:eastAsia="仿宋_GB2312" w:cs="仿宋_GB2312"/>
          <w:b/>
          <w:bCs/>
          <w:sz w:val="32"/>
          <w:szCs w:val="32"/>
          <w:lang w:val="en-US" w:eastAsia="zh-CN"/>
        </w:rPr>
      </w:pPr>
    </w:p>
    <w:p w14:paraId="7025B6A3">
      <w:pPr>
        <w:jc w:val="center"/>
        <w:rPr>
          <w:rFonts w:hint="eastAsia" w:ascii="仿宋_GB2312" w:hAnsi="仿宋_GB2312" w:eastAsia="仿宋_GB2312" w:cs="仿宋_GB2312"/>
          <w:b/>
          <w:bCs/>
          <w:sz w:val="32"/>
          <w:szCs w:val="32"/>
          <w:lang w:val="en-US" w:eastAsia="zh-CN"/>
        </w:rPr>
      </w:pPr>
    </w:p>
    <w:p w14:paraId="4F6AA95A">
      <w:pPr>
        <w:jc w:val="center"/>
        <w:rPr>
          <w:rFonts w:hint="eastAsia" w:ascii="仿宋_GB2312" w:hAnsi="仿宋_GB2312" w:eastAsia="仿宋_GB2312" w:cs="仿宋_GB2312"/>
          <w:b/>
          <w:bCs/>
          <w:sz w:val="32"/>
          <w:szCs w:val="32"/>
          <w:lang w:val="en-US" w:eastAsia="zh-CN"/>
        </w:rPr>
      </w:pPr>
    </w:p>
    <w:p w14:paraId="347B40D0">
      <w:pPr>
        <w:jc w:val="center"/>
        <w:rPr>
          <w:rFonts w:hint="eastAsia" w:ascii="仿宋_GB2312" w:hAnsi="仿宋_GB2312" w:eastAsia="仿宋_GB2312" w:cs="仿宋_GB2312"/>
          <w:b/>
          <w:bCs/>
          <w:sz w:val="32"/>
          <w:szCs w:val="32"/>
          <w:lang w:val="en-US" w:eastAsia="zh-CN"/>
        </w:rPr>
      </w:pPr>
    </w:p>
    <w:p w14:paraId="1C5B3426">
      <w:pPr>
        <w:jc w:val="center"/>
        <w:rPr>
          <w:rFonts w:hint="eastAsia" w:ascii="仿宋_GB2312" w:hAnsi="仿宋_GB2312" w:eastAsia="仿宋_GB2312" w:cs="仿宋_GB2312"/>
          <w:b/>
          <w:bCs/>
          <w:sz w:val="32"/>
          <w:szCs w:val="32"/>
          <w:lang w:val="en-US" w:eastAsia="zh-CN"/>
        </w:rPr>
      </w:pPr>
    </w:p>
    <w:p w14:paraId="566C0536">
      <w:pPr>
        <w:jc w:val="center"/>
        <w:rPr>
          <w:rFonts w:hint="eastAsia" w:ascii="仿宋_GB2312" w:hAnsi="仿宋_GB2312" w:eastAsia="仿宋_GB2312" w:cs="仿宋_GB2312"/>
          <w:b/>
          <w:bCs/>
          <w:sz w:val="32"/>
          <w:szCs w:val="32"/>
          <w:lang w:val="en-US" w:eastAsia="zh-CN"/>
        </w:rPr>
      </w:pPr>
    </w:p>
    <w:p w14:paraId="4D33034C">
      <w:pPr>
        <w:jc w:val="center"/>
        <w:rPr>
          <w:rFonts w:hint="eastAsia" w:ascii="仿宋_GB2312" w:hAnsi="仿宋_GB2312" w:eastAsia="仿宋_GB2312" w:cs="仿宋_GB2312"/>
          <w:b/>
          <w:bCs/>
          <w:sz w:val="32"/>
          <w:szCs w:val="32"/>
          <w:lang w:val="en-US" w:eastAsia="zh-CN"/>
        </w:rPr>
      </w:pPr>
    </w:p>
    <w:p w14:paraId="181506C6">
      <w:pPr>
        <w:jc w:val="center"/>
        <w:rPr>
          <w:rFonts w:hint="eastAsia" w:ascii="仿宋_GB2312" w:hAnsi="仿宋_GB2312" w:eastAsia="仿宋_GB2312" w:cs="仿宋_GB2312"/>
          <w:b/>
          <w:bCs/>
          <w:sz w:val="32"/>
          <w:szCs w:val="32"/>
          <w:lang w:val="en-US" w:eastAsia="zh-CN"/>
        </w:rPr>
      </w:pPr>
    </w:p>
    <w:p w14:paraId="670B1D44">
      <w:pPr>
        <w:jc w:val="center"/>
        <w:rPr>
          <w:rFonts w:hint="eastAsia" w:ascii="仿宋_GB2312" w:hAnsi="仿宋_GB2312" w:eastAsia="仿宋_GB2312" w:cs="仿宋_GB2312"/>
          <w:b/>
          <w:bCs/>
          <w:sz w:val="32"/>
          <w:szCs w:val="32"/>
          <w:lang w:val="en-US" w:eastAsia="zh-CN"/>
        </w:rPr>
      </w:pPr>
    </w:p>
    <w:p w14:paraId="24917BBA">
      <w:pPr>
        <w:jc w:val="center"/>
        <w:rPr>
          <w:rFonts w:hint="eastAsia" w:ascii="仿宋_GB2312" w:hAnsi="仿宋_GB2312" w:eastAsia="仿宋_GB2312" w:cs="仿宋_GB2312"/>
          <w:b/>
          <w:bCs/>
          <w:sz w:val="32"/>
          <w:szCs w:val="32"/>
          <w:lang w:val="en-US" w:eastAsia="zh-CN"/>
        </w:rPr>
      </w:pPr>
    </w:p>
    <w:p w14:paraId="57D3FCF1">
      <w:pPr>
        <w:jc w:val="center"/>
        <w:rPr>
          <w:rFonts w:hint="eastAsia" w:ascii="仿宋_GB2312" w:hAnsi="仿宋_GB2312" w:eastAsia="仿宋_GB2312" w:cs="仿宋_GB2312"/>
          <w:b/>
          <w:bCs/>
          <w:sz w:val="32"/>
          <w:szCs w:val="32"/>
          <w:lang w:val="en-US" w:eastAsia="zh-CN"/>
        </w:rPr>
      </w:pPr>
    </w:p>
    <w:p w14:paraId="0D3FC81F">
      <w:pPr>
        <w:jc w:val="center"/>
        <w:rPr>
          <w:rFonts w:hint="eastAsia" w:ascii="仿宋_GB2312" w:hAnsi="仿宋_GB2312" w:eastAsia="仿宋_GB2312" w:cs="仿宋_GB2312"/>
          <w:b/>
          <w:bCs/>
          <w:sz w:val="32"/>
          <w:szCs w:val="32"/>
          <w:lang w:val="en-US" w:eastAsia="zh-CN"/>
        </w:rPr>
      </w:pPr>
    </w:p>
    <w:p w14:paraId="7C918C6B">
      <w:pPr>
        <w:jc w:val="center"/>
        <w:rPr>
          <w:rFonts w:hint="eastAsia" w:ascii="仿宋_GB2312" w:hAnsi="仿宋_GB2312" w:eastAsia="仿宋_GB2312" w:cs="仿宋_GB2312"/>
          <w:b/>
          <w:bCs/>
          <w:sz w:val="32"/>
          <w:szCs w:val="32"/>
          <w:lang w:val="en-US" w:eastAsia="zh-CN"/>
        </w:rPr>
      </w:pPr>
    </w:p>
    <w:p w14:paraId="09E05741">
      <w:pPr>
        <w:jc w:val="center"/>
        <w:rPr>
          <w:rFonts w:hint="eastAsia" w:ascii="仿宋_GB2312" w:hAnsi="仿宋_GB2312" w:eastAsia="仿宋_GB2312" w:cs="仿宋_GB2312"/>
          <w:b/>
          <w:bCs/>
          <w:sz w:val="32"/>
          <w:szCs w:val="32"/>
          <w:lang w:val="en-US" w:eastAsia="zh-CN"/>
        </w:rPr>
      </w:pPr>
    </w:p>
    <w:p w14:paraId="5AEA929E">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307AA74">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3F0424D8">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68EC3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3D6AB899">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17B5E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包括但不限于现金、礼品、有价证券回扣、佣金、提供旅游、娱乐活动等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6BD3F47">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6488D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F07B58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7B6D8FB">
      <w:pPr>
        <w:ind w:firstLine="6400" w:firstLineChars="2000"/>
        <w:rPr>
          <w:rFonts w:hint="eastAsia" w:ascii="仿宋_GB2312" w:hAnsi="仿宋_GB2312" w:eastAsia="仿宋_GB2312" w:cs="仿宋_GB2312"/>
          <w:sz w:val="32"/>
          <w:szCs w:val="32"/>
        </w:rPr>
      </w:pPr>
    </w:p>
    <w:p w14:paraId="626E03FC">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430D0988">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5E5B55F6">
      <w:pPr>
        <w:pStyle w:val="9"/>
        <w:spacing w:line="360" w:lineRule="auto"/>
        <w:jc w:val="both"/>
        <w:rPr>
          <w:rFonts w:hint="eastAsia" w:ascii="仿宋" w:hAnsi="仿宋" w:eastAsia="仿宋" w:cs="仿宋"/>
          <w:b/>
          <w:snapToGrid w:val="0"/>
          <w:color w:val="auto"/>
          <w:kern w:val="0"/>
          <w:sz w:val="36"/>
          <w:szCs w:val="36"/>
          <w:lang w:val="zh-CN" w:eastAsia="zh-CN"/>
        </w:rPr>
      </w:pPr>
    </w:p>
    <w:p w14:paraId="4FD8FBA6">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5E6E1F27">
      <w:pPr>
        <w:pStyle w:val="9"/>
        <w:spacing w:line="360" w:lineRule="auto"/>
        <w:jc w:val="both"/>
        <w:rPr>
          <w:rFonts w:hint="eastAsia" w:ascii="仿宋" w:hAnsi="仿宋" w:eastAsia="仿宋" w:cs="仿宋"/>
          <w:b/>
          <w:bCs/>
          <w:color w:val="auto"/>
          <w:sz w:val="28"/>
          <w:szCs w:val="28"/>
          <w:highlight w:val="none"/>
          <w:lang w:val="en-US" w:eastAsia="zh-CN"/>
        </w:rPr>
      </w:pPr>
    </w:p>
    <w:p w14:paraId="1AC03C21">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2BBC63DA">
      <w:pPr>
        <w:pStyle w:val="9"/>
        <w:spacing w:line="360" w:lineRule="auto"/>
        <w:jc w:val="center"/>
        <w:rPr>
          <w:rFonts w:hint="eastAsia" w:ascii="仿宋" w:hAnsi="仿宋" w:eastAsia="仿宋" w:cs="仿宋"/>
          <w:b/>
          <w:bCs/>
          <w:color w:val="auto"/>
          <w:sz w:val="28"/>
          <w:szCs w:val="28"/>
          <w:highlight w:val="none"/>
          <w:lang w:val="en-US" w:eastAsia="zh-CN"/>
        </w:rPr>
      </w:pPr>
    </w:p>
    <w:p w14:paraId="20C50A6F">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6BD29930">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评估认证</w:t>
      </w:r>
      <w:r>
        <w:rPr>
          <w:rFonts w:hint="eastAsia" w:ascii="仿宋" w:hAnsi="仿宋" w:eastAsia="仿宋" w:cs="仿宋"/>
          <w:b/>
          <w:bCs/>
          <w:color w:val="auto"/>
          <w:sz w:val="28"/>
          <w:szCs w:val="28"/>
          <w:highlight w:val="none"/>
          <w:lang w:val="zh-CN"/>
        </w:rPr>
        <w:t>从业资格证明文件）</w:t>
      </w:r>
    </w:p>
    <w:p w14:paraId="2D60A6C4">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B854077">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2D1CE114">
      <w:pPr>
        <w:pStyle w:val="9"/>
        <w:spacing w:line="360" w:lineRule="auto"/>
        <w:jc w:val="center"/>
        <w:rPr>
          <w:rFonts w:hint="eastAsia" w:ascii="仿宋" w:hAnsi="仿宋" w:eastAsia="仿宋" w:cs="仿宋"/>
          <w:b/>
          <w:bCs/>
          <w:color w:val="auto"/>
          <w:sz w:val="28"/>
          <w:szCs w:val="28"/>
          <w:highlight w:val="none"/>
        </w:rPr>
      </w:pPr>
    </w:p>
    <w:p w14:paraId="5FD58CF5">
      <w:pPr>
        <w:pStyle w:val="9"/>
        <w:spacing w:line="360" w:lineRule="auto"/>
        <w:jc w:val="center"/>
        <w:rPr>
          <w:rFonts w:hint="eastAsia" w:ascii="仿宋" w:hAnsi="仿宋" w:eastAsia="仿宋" w:cs="仿宋"/>
          <w:b/>
          <w:bCs/>
          <w:color w:val="auto"/>
          <w:sz w:val="28"/>
          <w:szCs w:val="28"/>
          <w:highlight w:val="none"/>
        </w:rPr>
      </w:pPr>
    </w:p>
    <w:p w14:paraId="36E690B4">
      <w:pPr>
        <w:pStyle w:val="9"/>
        <w:spacing w:line="360" w:lineRule="auto"/>
        <w:jc w:val="center"/>
        <w:rPr>
          <w:rFonts w:hint="eastAsia" w:ascii="仿宋" w:hAnsi="仿宋" w:eastAsia="仿宋" w:cs="仿宋"/>
          <w:b/>
          <w:bCs/>
          <w:color w:val="auto"/>
          <w:sz w:val="28"/>
          <w:szCs w:val="28"/>
          <w:highlight w:val="none"/>
        </w:rPr>
      </w:pPr>
    </w:p>
    <w:p w14:paraId="6D64CBC7">
      <w:pPr>
        <w:rPr>
          <w:rFonts w:hint="eastAsia" w:ascii="仿宋" w:hAnsi="仿宋" w:eastAsia="仿宋" w:cs="仿宋"/>
          <w:color w:val="auto"/>
          <w:sz w:val="20"/>
          <w:szCs w:val="18"/>
          <w:highlight w:val="none"/>
        </w:rPr>
      </w:pPr>
    </w:p>
    <w:p w14:paraId="17634819">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14:paraId="27ABC228">
      <w:pPr>
        <w:pStyle w:val="9"/>
        <w:spacing w:line="360" w:lineRule="auto"/>
        <w:jc w:val="center"/>
        <w:rPr>
          <w:rFonts w:hint="eastAsia" w:ascii="仿宋" w:hAnsi="仿宋" w:eastAsia="仿宋" w:cs="仿宋"/>
          <w:b/>
          <w:bCs/>
          <w:color w:val="auto"/>
          <w:sz w:val="28"/>
          <w:szCs w:val="28"/>
          <w:highlight w:val="none"/>
        </w:rPr>
      </w:pPr>
    </w:p>
    <w:p w14:paraId="22602EB2">
      <w:pPr>
        <w:pStyle w:val="9"/>
        <w:spacing w:line="360" w:lineRule="auto"/>
        <w:jc w:val="both"/>
        <w:rPr>
          <w:rFonts w:hint="eastAsia" w:ascii="仿宋" w:hAnsi="仿宋" w:eastAsia="仿宋" w:cs="仿宋"/>
          <w:b/>
          <w:bCs/>
          <w:color w:val="auto"/>
          <w:sz w:val="28"/>
          <w:szCs w:val="28"/>
          <w:highlight w:val="none"/>
        </w:rPr>
      </w:pPr>
    </w:p>
    <w:p w14:paraId="0E3E0DC8">
      <w:pPr>
        <w:pStyle w:val="9"/>
        <w:spacing w:line="360" w:lineRule="auto"/>
        <w:jc w:val="both"/>
        <w:rPr>
          <w:rFonts w:hint="eastAsia" w:ascii="仿宋" w:hAnsi="仿宋" w:eastAsia="仿宋" w:cs="仿宋"/>
          <w:b/>
          <w:bCs/>
          <w:color w:val="auto"/>
          <w:sz w:val="28"/>
          <w:szCs w:val="28"/>
          <w:highlight w:val="none"/>
        </w:rPr>
      </w:pPr>
    </w:p>
    <w:p w14:paraId="77C387B4">
      <w:pPr>
        <w:pStyle w:val="9"/>
        <w:spacing w:line="360" w:lineRule="auto"/>
        <w:jc w:val="both"/>
        <w:rPr>
          <w:rFonts w:hint="eastAsia" w:ascii="仿宋" w:hAnsi="仿宋" w:eastAsia="仿宋" w:cs="仿宋"/>
          <w:b/>
          <w:bCs/>
          <w:color w:val="auto"/>
          <w:sz w:val="28"/>
          <w:szCs w:val="28"/>
          <w:highlight w:val="none"/>
        </w:rPr>
      </w:pPr>
    </w:p>
    <w:p w14:paraId="41B77899">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5.3评估服务证明材料</w:t>
      </w:r>
    </w:p>
    <w:p w14:paraId="00B50EB3">
      <w:pPr>
        <w:pStyle w:val="9"/>
        <w:spacing w:line="360" w:lineRule="auto"/>
        <w:jc w:val="center"/>
        <w:rPr>
          <w:rFonts w:hint="eastAsia" w:ascii="仿宋" w:hAnsi="仿宋" w:eastAsia="仿宋" w:cs="仿宋"/>
          <w:b/>
          <w:bCs/>
          <w:color w:val="auto"/>
          <w:sz w:val="28"/>
          <w:szCs w:val="28"/>
          <w:highlight w:val="none"/>
          <w:lang w:val="zh-CN"/>
        </w:rPr>
      </w:pPr>
    </w:p>
    <w:p w14:paraId="16930BD9">
      <w:pPr>
        <w:pStyle w:val="9"/>
        <w:spacing w:line="360" w:lineRule="auto"/>
        <w:jc w:val="center"/>
        <w:rPr>
          <w:rFonts w:hint="eastAsia" w:ascii="仿宋" w:hAnsi="仿宋" w:eastAsia="仿宋" w:cs="仿宋"/>
          <w:b/>
          <w:bCs/>
          <w:color w:val="auto"/>
          <w:sz w:val="28"/>
          <w:szCs w:val="28"/>
          <w:highlight w:val="none"/>
          <w:lang w:val="zh-CN"/>
        </w:rPr>
      </w:pPr>
    </w:p>
    <w:p w14:paraId="57807184">
      <w:pPr>
        <w:pStyle w:val="9"/>
        <w:spacing w:line="360" w:lineRule="auto"/>
        <w:jc w:val="center"/>
        <w:rPr>
          <w:rFonts w:hint="eastAsia" w:ascii="仿宋" w:hAnsi="仿宋" w:eastAsia="仿宋" w:cs="仿宋"/>
          <w:b/>
          <w:bCs/>
          <w:color w:val="auto"/>
          <w:sz w:val="28"/>
          <w:szCs w:val="28"/>
          <w:highlight w:val="none"/>
          <w:lang w:val="zh-CN"/>
        </w:rPr>
      </w:pPr>
    </w:p>
    <w:p w14:paraId="14E0256E">
      <w:pPr>
        <w:pStyle w:val="9"/>
        <w:spacing w:line="360" w:lineRule="auto"/>
        <w:jc w:val="center"/>
        <w:rPr>
          <w:rFonts w:hint="eastAsia" w:ascii="仿宋" w:hAnsi="仿宋" w:eastAsia="仿宋" w:cs="仿宋"/>
          <w:b/>
          <w:bCs/>
          <w:color w:val="auto"/>
          <w:sz w:val="28"/>
          <w:szCs w:val="28"/>
          <w:highlight w:val="none"/>
          <w:lang w:val="zh-CN"/>
        </w:rPr>
      </w:pPr>
    </w:p>
    <w:p w14:paraId="25E12717">
      <w:pPr>
        <w:pStyle w:val="9"/>
        <w:spacing w:line="360" w:lineRule="auto"/>
        <w:jc w:val="center"/>
        <w:rPr>
          <w:rFonts w:hint="eastAsia" w:ascii="仿宋" w:hAnsi="仿宋" w:eastAsia="仿宋" w:cs="仿宋"/>
          <w:b/>
          <w:bCs/>
          <w:color w:val="auto"/>
          <w:sz w:val="28"/>
          <w:szCs w:val="28"/>
          <w:highlight w:val="none"/>
          <w:lang w:val="en-US" w:eastAsia="zh-CN"/>
        </w:rPr>
      </w:pPr>
    </w:p>
    <w:p w14:paraId="5E45F455">
      <w:pPr>
        <w:pStyle w:val="9"/>
        <w:spacing w:line="360" w:lineRule="auto"/>
        <w:jc w:val="center"/>
        <w:rPr>
          <w:rFonts w:hint="eastAsia" w:ascii="仿宋" w:hAnsi="仿宋" w:eastAsia="仿宋" w:cs="仿宋"/>
          <w:b/>
          <w:bCs/>
          <w:color w:val="auto"/>
          <w:sz w:val="28"/>
          <w:szCs w:val="28"/>
          <w:highlight w:val="none"/>
          <w:lang w:val="en-US" w:eastAsia="zh-CN"/>
        </w:rPr>
      </w:pPr>
    </w:p>
    <w:p w14:paraId="67A89832">
      <w:pPr>
        <w:pStyle w:val="9"/>
        <w:spacing w:line="360" w:lineRule="auto"/>
        <w:jc w:val="center"/>
        <w:rPr>
          <w:rFonts w:hint="eastAsia" w:ascii="仿宋" w:hAnsi="仿宋" w:eastAsia="仿宋" w:cs="仿宋"/>
          <w:b/>
          <w:bCs/>
          <w:color w:val="auto"/>
          <w:sz w:val="28"/>
          <w:szCs w:val="28"/>
          <w:highlight w:val="none"/>
          <w:lang w:val="en-US" w:eastAsia="zh-CN"/>
        </w:rPr>
      </w:pPr>
    </w:p>
    <w:p w14:paraId="6C326C17">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47142C89">
      <w:pPr>
        <w:pStyle w:val="9"/>
        <w:spacing w:line="360" w:lineRule="auto"/>
        <w:jc w:val="center"/>
        <w:rPr>
          <w:rFonts w:hint="eastAsia" w:ascii="仿宋" w:hAnsi="仿宋" w:eastAsia="仿宋" w:cs="仿宋"/>
          <w:b/>
          <w:bCs/>
          <w:color w:val="auto"/>
          <w:sz w:val="28"/>
          <w:szCs w:val="28"/>
          <w:highlight w:val="none"/>
        </w:rPr>
      </w:pPr>
    </w:p>
    <w:p w14:paraId="56C59A1D">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38CF13DE">
      <w:pPr>
        <w:rPr>
          <w:rFonts w:hint="eastAsia" w:ascii="仿宋" w:hAnsi="仿宋" w:eastAsia="仿宋" w:cs="仿宋"/>
          <w:color w:val="auto"/>
          <w:sz w:val="20"/>
          <w:szCs w:val="18"/>
          <w:highlight w:val="none"/>
        </w:rPr>
      </w:pPr>
    </w:p>
    <w:p w14:paraId="393D7D0E">
      <w:pPr>
        <w:rPr>
          <w:rFonts w:hint="eastAsia" w:ascii="仿宋" w:hAnsi="仿宋" w:eastAsia="仿宋" w:cs="仿宋"/>
          <w:color w:val="auto"/>
          <w:sz w:val="20"/>
          <w:szCs w:val="18"/>
          <w:highlight w:val="none"/>
        </w:rPr>
      </w:pPr>
    </w:p>
    <w:p w14:paraId="5893CFF8">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3E70E4F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5BC111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6243C6B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50A0870C">
      <w:r>
        <w:rPr>
          <w:rFonts w:hint="eastAsia" w:ascii="仿宋" w:hAnsi="仿宋" w:eastAsia="仿宋" w:cs="仿宋"/>
          <w:b/>
          <w:color w:val="auto"/>
          <w:sz w:val="36"/>
          <w:szCs w:val="36"/>
          <w:shd w:val="clear" w:color="060000" w:fill="auto"/>
          <w:lang w:eastAsia="zh-CN"/>
        </w:rPr>
        <w:t>注：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eastAsia" w:ascii="仿宋" w:hAnsi="仿宋" w:eastAsia="仿宋" w:cs="仿宋"/>
          <w:b/>
          <w:color w:val="auto"/>
          <w:sz w:val="36"/>
          <w:szCs w:val="36"/>
          <w:shd w:val="clear" w:color="060000" w:fill="auto"/>
          <w:lang w:val="en-US" w:eastAsia="zh-CN"/>
        </w:rPr>
        <w:t>比选</w:t>
      </w:r>
      <w:r>
        <w:rPr>
          <w:rFonts w:hint="eastAsia" w:ascii="仿宋" w:hAnsi="仿宋" w:eastAsia="仿宋" w:cs="仿宋"/>
          <w:b/>
          <w:color w:val="auto"/>
          <w:sz w:val="36"/>
          <w:szCs w:val="36"/>
          <w:shd w:val="clear" w:color="060000" w:fill="auto"/>
          <w:lang w:eastAsia="zh-CN"/>
        </w:rPr>
        <w:t>人有权拒绝接收。</w:t>
      </w:r>
    </w:p>
    <w:p w14:paraId="6886BA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869F">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976B">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5E9E7">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0DD5E9E7">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43933CEF">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7C357B0"/>
    <w:multiLevelType w:val="singleLevel"/>
    <w:tmpl w:val="67C357B0"/>
    <w:lvl w:ilvl="0" w:tentative="0">
      <w:start w:val="1"/>
      <w:numFmt w:val="decimal"/>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3F23CE"/>
    <w:rsid w:val="00E97C2E"/>
    <w:rsid w:val="00F31039"/>
    <w:rsid w:val="014556BE"/>
    <w:rsid w:val="021122B5"/>
    <w:rsid w:val="02FC45A7"/>
    <w:rsid w:val="04021749"/>
    <w:rsid w:val="04F63CC2"/>
    <w:rsid w:val="059D30B6"/>
    <w:rsid w:val="06104A21"/>
    <w:rsid w:val="07A86AAB"/>
    <w:rsid w:val="08493BE3"/>
    <w:rsid w:val="085A5FF7"/>
    <w:rsid w:val="08613F7B"/>
    <w:rsid w:val="0949606C"/>
    <w:rsid w:val="095A3DD5"/>
    <w:rsid w:val="09DE0417"/>
    <w:rsid w:val="0E435E5F"/>
    <w:rsid w:val="0F004A9B"/>
    <w:rsid w:val="0F791428"/>
    <w:rsid w:val="115B06EA"/>
    <w:rsid w:val="117F087D"/>
    <w:rsid w:val="119460F8"/>
    <w:rsid w:val="1360023A"/>
    <w:rsid w:val="14D507B4"/>
    <w:rsid w:val="15312BFE"/>
    <w:rsid w:val="15363948"/>
    <w:rsid w:val="1552390B"/>
    <w:rsid w:val="190D49C0"/>
    <w:rsid w:val="1A613B56"/>
    <w:rsid w:val="1D46072C"/>
    <w:rsid w:val="1D835251"/>
    <w:rsid w:val="1EB84FB4"/>
    <w:rsid w:val="21ED538F"/>
    <w:rsid w:val="22130EA0"/>
    <w:rsid w:val="23B44CBF"/>
    <w:rsid w:val="23F8720B"/>
    <w:rsid w:val="25586B85"/>
    <w:rsid w:val="258424AE"/>
    <w:rsid w:val="25846482"/>
    <w:rsid w:val="258B3AF2"/>
    <w:rsid w:val="259020DD"/>
    <w:rsid w:val="259E56DA"/>
    <w:rsid w:val="25EB1F94"/>
    <w:rsid w:val="26B47885"/>
    <w:rsid w:val="28C606E7"/>
    <w:rsid w:val="29EF3C6E"/>
    <w:rsid w:val="29F554B9"/>
    <w:rsid w:val="2AA76515"/>
    <w:rsid w:val="2BCE666F"/>
    <w:rsid w:val="2BE302F2"/>
    <w:rsid w:val="2C0D6146"/>
    <w:rsid w:val="2D7050C6"/>
    <w:rsid w:val="2E4862BB"/>
    <w:rsid w:val="30C51A99"/>
    <w:rsid w:val="310444A3"/>
    <w:rsid w:val="32382BF4"/>
    <w:rsid w:val="32B819E9"/>
    <w:rsid w:val="3619097D"/>
    <w:rsid w:val="3687595A"/>
    <w:rsid w:val="381E22EE"/>
    <w:rsid w:val="38507FCD"/>
    <w:rsid w:val="3A7941B3"/>
    <w:rsid w:val="3A8F74D3"/>
    <w:rsid w:val="3AC9229B"/>
    <w:rsid w:val="3AED7D56"/>
    <w:rsid w:val="3B252BAF"/>
    <w:rsid w:val="3B88345B"/>
    <w:rsid w:val="3C1A7270"/>
    <w:rsid w:val="3DB54599"/>
    <w:rsid w:val="3DC33DF0"/>
    <w:rsid w:val="3FB8550E"/>
    <w:rsid w:val="40972C3D"/>
    <w:rsid w:val="41344930"/>
    <w:rsid w:val="42A3719F"/>
    <w:rsid w:val="44396802"/>
    <w:rsid w:val="444F192C"/>
    <w:rsid w:val="44803629"/>
    <w:rsid w:val="44E26451"/>
    <w:rsid w:val="45282B95"/>
    <w:rsid w:val="455F57C6"/>
    <w:rsid w:val="45C937D0"/>
    <w:rsid w:val="47431429"/>
    <w:rsid w:val="476017F7"/>
    <w:rsid w:val="47CC6C50"/>
    <w:rsid w:val="47F839E2"/>
    <w:rsid w:val="48A52C68"/>
    <w:rsid w:val="49164ABC"/>
    <w:rsid w:val="497118BC"/>
    <w:rsid w:val="497955D6"/>
    <w:rsid w:val="49BF499E"/>
    <w:rsid w:val="4A902D26"/>
    <w:rsid w:val="4A952DAE"/>
    <w:rsid w:val="4B66509A"/>
    <w:rsid w:val="4BBD5522"/>
    <w:rsid w:val="4C583BC9"/>
    <w:rsid w:val="4C8C537E"/>
    <w:rsid w:val="4CD53C0E"/>
    <w:rsid w:val="4DE2074E"/>
    <w:rsid w:val="4E994B9F"/>
    <w:rsid w:val="4ECA713C"/>
    <w:rsid w:val="4FCD110C"/>
    <w:rsid w:val="4FF77255"/>
    <w:rsid w:val="505667B7"/>
    <w:rsid w:val="51583D23"/>
    <w:rsid w:val="552C446C"/>
    <w:rsid w:val="55C951EF"/>
    <w:rsid w:val="56312D95"/>
    <w:rsid w:val="56BA5480"/>
    <w:rsid w:val="56CE3AA9"/>
    <w:rsid w:val="57376C93"/>
    <w:rsid w:val="58F95B31"/>
    <w:rsid w:val="59162E41"/>
    <w:rsid w:val="59B47F65"/>
    <w:rsid w:val="5ABA5A4E"/>
    <w:rsid w:val="5BC87CF7"/>
    <w:rsid w:val="5D846E29"/>
    <w:rsid w:val="5E2C6C63"/>
    <w:rsid w:val="5EA44A4C"/>
    <w:rsid w:val="5F6D7533"/>
    <w:rsid w:val="5FAF36A8"/>
    <w:rsid w:val="5FFA14E0"/>
    <w:rsid w:val="60372166"/>
    <w:rsid w:val="60D54EE6"/>
    <w:rsid w:val="63777BFD"/>
    <w:rsid w:val="63C86657"/>
    <w:rsid w:val="64F61D79"/>
    <w:rsid w:val="65031DA0"/>
    <w:rsid w:val="65206DF6"/>
    <w:rsid w:val="65BB5819"/>
    <w:rsid w:val="660D5AC7"/>
    <w:rsid w:val="67E816B3"/>
    <w:rsid w:val="686B482C"/>
    <w:rsid w:val="68BD6F97"/>
    <w:rsid w:val="69286584"/>
    <w:rsid w:val="698060B5"/>
    <w:rsid w:val="69D50B42"/>
    <w:rsid w:val="6A530054"/>
    <w:rsid w:val="6A6F6406"/>
    <w:rsid w:val="6A741F92"/>
    <w:rsid w:val="6A9A31A7"/>
    <w:rsid w:val="6CF07C20"/>
    <w:rsid w:val="6DBD011A"/>
    <w:rsid w:val="6DBF6C55"/>
    <w:rsid w:val="6DD864C0"/>
    <w:rsid w:val="713003C1"/>
    <w:rsid w:val="716C47E2"/>
    <w:rsid w:val="72C154D1"/>
    <w:rsid w:val="73AD7AA7"/>
    <w:rsid w:val="73B47087"/>
    <w:rsid w:val="73CC268A"/>
    <w:rsid w:val="741B1AD7"/>
    <w:rsid w:val="748C1DB2"/>
    <w:rsid w:val="751122B7"/>
    <w:rsid w:val="752B15CB"/>
    <w:rsid w:val="758D193E"/>
    <w:rsid w:val="7610431D"/>
    <w:rsid w:val="770025E3"/>
    <w:rsid w:val="78441ADC"/>
    <w:rsid w:val="788E0646"/>
    <w:rsid w:val="79AF45B3"/>
    <w:rsid w:val="7A6D61E2"/>
    <w:rsid w:val="7A8F7F06"/>
    <w:rsid w:val="7BB37C24"/>
    <w:rsid w:val="7D4A0A5C"/>
    <w:rsid w:val="7D9521E6"/>
    <w:rsid w:val="7F1A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3359</Words>
  <Characters>3532</Characters>
  <Lines>0</Lines>
  <Paragraphs>0</Paragraphs>
  <TotalTime>5</TotalTime>
  <ScaleCrop>false</ScaleCrop>
  <LinksUpToDate>false</LinksUpToDate>
  <CharactersWithSpaces>3630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2023-09-22T08:57:00Z</cp:lastPrinted>
  <dcterms:modified xsi:type="dcterms:W3CDTF">2025-11-17T07:15:04Z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B81BF72732F84ADC80C2859A620CFF87_13</vt:lpwstr>
  </property>
  <property fmtid="{D5CDD505-2E9C-101B-9397-08002B2CF9AE}" pid="4" name="KSOTemplateDocerSaveRecord">
    <vt:lpwstr>eyJoZGlkIjoiMTc5MzQxYzgyODFiMGZlMDQ5N2RmOWNjNmE4Y2I4MmIiLCJ1c2VySWQiOiI4NjU1Nzg4MTMifQ==</vt:lpwstr>
  </property>
</Properties>
</file>